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确山县清源污水处理有限公司</w:t>
      </w:r>
    </w:p>
    <w:p>
      <w:pPr>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信息公开表</w:t>
      </w:r>
    </w:p>
    <w:p>
      <w:pPr>
        <w:pStyle w:val="9"/>
        <w:numPr>
          <w:ilvl w:val="0"/>
          <w:numId w:val="0"/>
        </w:numPr>
        <w:spacing w:line="360" w:lineRule="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一、基础信息</w:t>
      </w:r>
    </w:p>
    <w:p>
      <w:pPr>
        <w:pStyle w:val="9"/>
        <w:numPr>
          <w:ilvl w:val="0"/>
          <w:numId w:val="0"/>
        </w:numPr>
        <w:spacing w:line="36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t>单位名称：确山县清源污水处理有限公司。</w:t>
      </w:r>
    </w:p>
    <w:p>
      <w:pPr>
        <w:pStyle w:val="9"/>
        <w:numPr>
          <w:ilvl w:val="0"/>
          <w:numId w:val="0"/>
        </w:numPr>
        <w:spacing w:line="36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t>污水厂名称：</w:t>
      </w:r>
      <w:r>
        <w:rPr>
          <w:rFonts w:hint="eastAsia" w:ascii="仿宋" w:hAnsi="仿宋" w:eastAsia="仿宋" w:cs="仿宋"/>
          <w:sz w:val="32"/>
          <w:szCs w:val="32"/>
        </w:rPr>
        <w:t>确山县污水处理厂</w:t>
      </w:r>
      <w:r>
        <w:rPr>
          <w:rFonts w:hint="eastAsia" w:ascii="仿宋" w:hAnsi="仿宋" w:eastAsia="仿宋" w:cs="仿宋"/>
          <w:sz w:val="32"/>
          <w:szCs w:val="32"/>
          <w:lang w:eastAsia="zh-CN"/>
        </w:rPr>
        <w:t>。</w:t>
      </w:r>
    </w:p>
    <w:p>
      <w:pPr>
        <w:pStyle w:val="9"/>
        <w:numPr>
          <w:ilvl w:val="0"/>
          <w:numId w:val="0"/>
        </w:numPr>
        <w:spacing w:line="360" w:lineRule="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组织机构代码：</w:t>
      </w:r>
      <w:bookmarkStart w:id="0" w:name="_GoBack"/>
      <w:r>
        <w:rPr>
          <w:rFonts w:hint="eastAsia" w:ascii="仿宋" w:hAnsi="仿宋" w:eastAsia="仿宋" w:cs="仿宋"/>
          <w:sz w:val="32"/>
          <w:szCs w:val="32"/>
          <w:lang w:val="en-US" w:eastAsia="zh-CN"/>
        </w:rPr>
        <w:t>91411725MA9M47CX0Y</w:t>
      </w:r>
      <w:bookmarkEnd w:id="0"/>
      <w:r>
        <w:rPr>
          <w:rFonts w:hint="eastAsia" w:ascii="仿宋" w:hAnsi="仿宋" w:eastAsia="仿宋" w:cs="仿宋"/>
          <w:sz w:val="32"/>
          <w:szCs w:val="32"/>
          <w:lang w:val="en-US" w:eastAsia="zh-CN"/>
        </w:rPr>
        <w:t>。</w:t>
      </w:r>
    </w:p>
    <w:p>
      <w:pPr>
        <w:pStyle w:val="9"/>
        <w:numPr>
          <w:ilvl w:val="0"/>
          <w:numId w:val="0"/>
        </w:numPr>
        <w:spacing w:line="360" w:lineRule="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法定代表人：王东升。</w:t>
      </w:r>
    </w:p>
    <w:p>
      <w:pPr>
        <w:pStyle w:val="9"/>
        <w:numPr>
          <w:ilvl w:val="0"/>
          <w:numId w:val="0"/>
        </w:numPr>
        <w:spacing w:line="36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t>生产地址：确山县朗陵街道赵庄村。</w:t>
      </w:r>
    </w:p>
    <w:p>
      <w:pPr>
        <w:pStyle w:val="9"/>
        <w:numPr>
          <w:ilvl w:val="0"/>
          <w:numId w:val="0"/>
        </w:numPr>
        <w:spacing w:line="360" w:lineRule="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联系方式：</w:t>
      </w:r>
      <w:r>
        <w:rPr>
          <w:rFonts w:hint="eastAsia" w:ascii="仿宋" w:hAnsi="仿宋" w:eastAsia="仿宋" w:cs="仿宋"/>
          <w:sz w:val="32"/>
          <w:szCs w:val="32"/>
          <w:lang w:val="en-US" w:eastAsia="zh-CN"/>
        </w:rPr>
        <w:t>13839697281。</w:t>
      </w:r>
    </w:p>
    <w:p>
      <w:pPr>
        <w:pStyle w:val="9"/>
        <w:numPr>
          <w:ilvl w:val="0"/>
          <w:numId w:val="0"/>
        </w:numPr>
        <w:spacing w:line="360" w:lineRule="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生产内容：污水处理及再生利用，</w:t>
      </w:r>
      <w:r>
        <w:rPr>
          <w:rFonts w:hint="eastAsia" w:ascii="仿宋" w:hAnsi="仿宋" w:eastAsia="仿宋" w:cs="仿宋"/>
          <w:sz w:val="32"/>
          <w:szCs w:val="32"/>
        </w:rPr>
        <w:t>设计处理规模</w:t>
      </w:r>
      <w:r>
        <w:rPr>
          <w:rFonts w:hint="eastAsia" w:ascii="仿宋" w:hAnsi="仿宋" w:eastAsia="仿宋" w:cs="仿宋"/>
          <w:sz w:val="32"/>
          <w:szCs w:val="32"/>
          <w:lang w:val="en-US" w:eastAsia="zh-CN"/>
        </w:rPr>
        <w:t>4</w:t>
      </w:r>
      <w:r>
        <w:rPr>
          <w:rFonts w:hint="eastAsia" w:ascii="仿宋" w:hAnsi="仿宋" w:eastAsia="仿宋" w:cs="仿宋"/>
          <w:sz w:val="32"/>
          <w:szCs w:val="32"/>
        </w:rPr>
        <w:t>万吨/日</w:t>
      </w:r>
      <w:r>
        <w:rPr>
          <w:rFonts w:hint="eastAsia" w:ascii="仿宋" w:hAnsi="仿宋" w:eastAsia="仿宋" w:cs="仿宋"/>
          <w:sz w:val="32"/>
          <w:szCs w:val="32"/>
          <w:lang w:eastAsia="zh-CN"/>
        </w:rPr>
        <w:t>。</w:t>
      </w:r>
    </w:p>
    <w:p>
      <w:pPr>
        <w:pStyle w:val="9"/>
        <w:numPr>
          <w:ilvl w:val="0"/>
          <w:numId w:val="1"/>
        </w:numPr>
        <w:spacing w:line="360" w:lineRule="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排污信息</w:t>
      </w:r>
    </w:p>
    <w:p>
      <w:pPr>
        <w:pStyle w:val="9"/>
        <w:numPr>
          <w:ilvl w:val="0"/>
          <w:numId w:val="0"/>
        </w:numPr>
        <w:spacing w:line="360" w:lineRule="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主要污染物：COD、氨氮、总磷、总氮。</w:t>
      </w:r>
    </w:p>
    <w:p>
      <w:pPr>
        <w:pStyle w:val="9"/>
        <w:numPr>
          <w:ilvl w:val="0"/>
          <w:numId w:val="0"/>
        </w:numPr>
        <w:spacing w:line="360" w:lineRule="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排放方式：连续直排。</w:t>
      </w:r>
    </w:p>
    <w:p>
      <w:pPr>
        <w:pStyle w:val="9"/>
        <w:numPr>
          <w:ilvl w:val="0"/>
          <w:numId w:val="0"/>
        </w:numPr>
        <w:spacing w:line="360" w:lineRule="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排放口数量：一个，位于厂区北侧。</w:t>
      </w:r>
    </w:p>
    <w:p>
      <w:pPr>
        <w:pStyle w:val="9"/>
        <w:numPr>
          <w:ilvl w:val="0"/>
          <w:numId w:val="0"/>
        </w:numPr>
        <w:spacing w:line="360" w:lineRule="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2022年废水排放量：1205.32万吨，COD年平均出水浓度：13.41mg/L，排放量161.63吨；氨氮年平均出水浓度：0.379mg/L，排放量：4.56吨；总磷年平均出水浓度：0.108mg/L，排放量：1.3吨；总氮年平均出水浓度：10.149mg/L，排放量：122.32吨。</w:t>
      </w:r>
    </w:p>
    <w:p>
      <w:pPr>
        <w:pStyle w:val="9"/>
        <w:numPr>
          <w:ilvl w:val="0"/>
          <w:numId w:val="0"/>
        </w:numPr>
        <w:spacing w:line="360" w:lineRule="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污染物排放标准：执行国家一级A排放标准。</w:t>
      </w:r>
    </w:p>
    <w:p>
      <w:pPr>
        <w:pStyle w:val="9"/>
        <w:numPr>
          <w:ilvl w:val="0"/>
          <w:numId w:val="0"/>
        </w:numPr>
        <w:spacing w:line="360" w:lineRule="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核定的排放总量：COD：438吨，氨氮：21.9吨，总氮：219吨，总磷：4.38吨。</w:t>
      </w:r>
    </w:p>
    <w:p>
      <w:pPr>
        <w:pStyle w:val="9"/>
        <w:numPr>
          <w:ilvl w:val="0"/>
          <w:numId w:val="1"/>
        </w:numPr>
        <w:spacing w:line="360" w:lineRule="auto"/>
        <w:ind w:left="0" w:leftChars="0" w:firstLine="0" w:firstLine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防治污染设施的建设和运行情况</w:t>
      </w:r>
    </w:p>
    <w:p>
      <w:pPr>
        <w:pStyle w:val="9"/>
        <w:numPr>
          <w:ilvl w:val="0"/>
          <w:numId w:val="0"/>
        </w:numPr>
        <w:spacing w:line="360" w:lineRule="auto"/>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我厂根据环评报告及批复要求，污水处理</w:t>
      </w:r>
      <w:r>
        <w:rPr>
          <w:rFonts w:hint="eastAsia" w:ascii="仿宋" w:hAnsi="仿宋" w:eastAsia="仿宋" w:cs="仿宋"/>
          <w:sz w:val="32"/>
          <w:szCs w:val="32"/>
          <w:lang w:eastAsia="zh-CN"/>
        </w:rPr>
        <w:t>采用二级生化处理</w:t>
      </w:r>
      <w:r>
        <w:rPr>
          <w:rFonts w:hint="eastAsia" w:ascii="仿宋" w:hAnsi="仿宋" w:eastAsia="仿宋" w:cs="仿宋"/>
          <w:sz w:val="32"/>
          <w:szCs w:val="32"/>
          <w:lang w:val="en-US" w:eastAsia="zh-CN"/>
        </w:rPr>
        <w:t>+三级深度处理工艺，处理后的达标废水直接排入至三里河，自投产以来运行正常。</w:t>
      </w:r>
    </w:p>
    <w:p>
      <w:pPr>
        <w:pStyle w:val="9"/>
        <w:numPr>
          <w:ilvl w:val="0"/>
          <w:numId w:val="0"/>
        </w:numPr>
        <w:spacing w:line="360" w:lineRule="auto"/>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我厂建立了危险废物贮存场所，严格按照要求落实各项防渗、防雨、防漏要求，危险废物委托有资质的单位进行安全处置。</w:t>
      </w:r>
    </w:p>
    <w:p>
      <w:pPr>
        <w:pStyle w:val="9"/>
        <w:numPr>
          <w:ilvl w:val="0"/>
          <w:numId w:val="1"/>
        </w:numPr>
        <w:spacing w:line="360" w:lineRule="auto"/>
        <w:ind w:left="0" w:leftChars="0" w:firstLine="0" w:firstLine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建设项目环境影响评价及其他环境保护行政许可情况</w:t>
      </w:r>
    </w:p>
    <w:p>
      <w:pPr>
        <w:pStyle w:val="5"/>
        <w:shd w:val="clear" w:color="auto" w:fill="FFFFFF"/>
        <w:spacing w:before="0" w:beforeAutospacing="0" w:after="0" w:afterAutospacing="0" w:line="400" w:lineRule="exact"/>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2004年12月10日批复确山县城污水处理工程  豫环监表</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2004</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195号</w:t>
      </w:r>
    </w:p>
    <w:p>
      <w:pPr>
        <w:pStyle w:val="5"/>
        <w:shd w:val="clear" w:color="auto" w:fill="FFFFFF"/>
        <w:spacing w:before="0" w:beforeAutospacing="0" w:after="0" w:afterAutospacing="0" w:line="400" w:lineRule="exact"/>
        <w:ind w:firstLine="640" w:firstLineChars="200"/>
        <w:jc w:val="both"/>
        <w:rPr>
          <w:rFonts w:hint="eastAsia" w:ascii="仿宋" w:hAnsi="仿宋" w:eastAsia="仿宋" w:cs="仿宋"/>
          <w:sz w:val="32"/>
          <w:szCs w:val="32"/>
        </w:rPr>
      </w:pPr>
      <w:r>
        <w:rPr>
          <w:rFonts w:hint="eastAsia" w:ascii="仿宋" w:hAnsi="仿宋" w:eastAsia="仿宋" w:cs="仿宋"/>
          <w:sz w:val="32"/>
          <w:szCs w:val="32"/>
          <w:lang w:val="en-US" w:eastAsia="zh-CN"/>
        </w:rPr>
        <w:t>2012年3月8日批复</w:t>
      </w:r>
      <w:r>
        <w:rPr>
          <w:rFonts w:hint="eastAsia" w:ascii="仿宋" w:hAnsi="仿宋" w:eastAsia="仿宋" w:cs="仿宋"/>
          <w:sz w:val="32"/>
          <w:szCs w:val="32"/>
          <w:lang w:eastAsia="zh-CN"/>
        </w:rPr>
        <w:t>确山县污水处理厂改扩建工程</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驻环评表【</w:t>
      </w:r>
      <w:r>
        <w:rPr>
          <w:rFonts w:hint="eastAsia" w:ascii="仿宋" w:hAnsi="仿宋" w:eastAsia="仿宋" w:cs="仿宋"/>
          <w:sz w:val="32"/>
          <w:szCs w:val="32"/>
          <w:lang w:val="en-US" w:eastAsia="zh-CN"/>
        </w:rPr>
        <w:t>2012</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3号</w:t>
      </w:r>
    </w:p>
    <w:p>
      <w:pPr>
        <w:numPr>
          <w:ilvl w:val="0"/>
          <w:numId w:val="0"/>
        </w:numPr>
        <w:adjustRightInd w:val="0"/>
        <w:snapToGrid w:val="0"/>
        <w:spacing w:line="400" w:lineRule="exact"/>
        <w:ind w:leftChars="200"/>
        <w:rPr>
          <w:rFonts w:hint="eastAsia" w:ascii="仿宋" w:hAnsi="仿宋" w:eastAsia="仿宋" w:cs="仿宋"/>
          <w:sz w:val="32"/>
          <w:szCs w:val="32"/>
        </w:rPr>
      </w:pPr>
      <w:r>
        <w:rPr>
          <w:rFonts w:hint="eastAsia" w:ascii="仿宋" w:hAnsi="仿宋" w:eastAsia="仿宋" w:cs="仿宋"/>
          <w:sz w:val="32"/>
          <w:szCs w:val="32"/>
          <w:lang w:val="en-US" w:eastAsia="zh-CN"/>
        </w:rPr>
        <w:t>2019年7月1日取得排污许可证 证件号：hb4117005000000123001Y。</w:t>
      </w:r>
    </w:p>
    <w:p>
      <w:pPr>
        <w:pStyle w:val="9"/>
        <w:numPr>
          <w:ilvl w:val="0"/>
          <w:numId w:val="1"/>
        </w:numPr>
        <w:spacing w:line="360" w:lineRule="auto"/>
        <w:ind w:left="0" w:leftChars="0" w:firstLine="0" w:firstLine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突发环境事件应急预案</w:t>
      </w:r>
    </w:p>
    <w:p>
      <w:pPr>
        <w:pStyle w:val="9"/>
        <w:numPr>
          <w:ilvl w:val="0"/>
          <w:numId w:val="0"/>
        </w:numPr>
        <w:spacing w:line="360" w:lineRule="auto"/>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6690" cy="4825365"/>
            <wp:effectExtent l="0" t="0" r="10160" b="13335"/>
            <wp:docPr id="1" name="图片 1" descr="微信图片_2020092115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0921154834"/>
                    <pic:cNvPicPr>
                      <a:picLocks noChangeAspect="1"/>
                    </pic:cNvPicPr>
                  </pic:nvPicPr>
                  <pic:blipFill>
                    <a:blip r:embed="rId4"/>
                    <a:stretch>
                      <a:fillRect/>
                    </a:stretch>
                  </pic:blipFill>
                  <pic:spPr>
                    <a:xfrm>
                      <a:off x="0" y="0"/>
                      <a:ext cx="5266690" cy="4825365"/>
                    </a:xfrm>
                    <a:prstGeom prst="rect">
                      <a:avLst/>
                    </a:prstGeom>
                  </pic:spPr>
                </pic:pic>
              </a:graphicData>
            </a:graphic>
          </wp:inline>
        </w:drawing>
      </w:r>
      <w:r>
        <w:rPr>
          <w:rFonts w:hint="eastAsia" w:ascii="仿宋" w:hAnsi="仿宋" w:eastAsia="仿宋" w:cs="仿宋"/>
          <w:sz w:val="32"/>
          <w:szCs w:val="32"/>
          <w:lang w:val="en-US" w:eastAsia="zh-CN"/>
        </w:rPr>
        <w:drawing>
          <wp:inline distT="0" distB="0" distL="114300" distR="114300">
            <wp:extent cx="5274310" cy="6820535"/>
            <wp:effectExtent l="0" t="0" r="2540" b="1841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5"/>
                    <a:stretch>
                      <a:fillRect/>
                    </a:stretch>
                  </pic:blipFill>
                  <pic:spPr>
                    <a:xfrm>
                      <a:off x="0" y="0"/>
                      <a:ext cx="5274310" cy="6820535"/>
                    </a:xfrm>
                    <a:prstGeom prst="rect">
                      <a:avLst/>
                    </a:prstGeom>
                  </pic:spPr>
                </pic:pic>
              </a:graphicData>
            </a:graphic>
          </wp:inline>
        </w:drawing>
      </w:r>
      <w:r>
        <w:rPr>
          <w:rFonts w:hint="eastAsia" w:ascii="仿宋" w:hAnsi="仿宋" w:eastAsia="仿宋" w:cs="仿宋"/>
          <w:sz w:val="32"/>
          <w:szCs w:val="32"/>
          <w:lang w:val="en-US" w:eastAsia="zh-CN"/>
        </w:rPr>
        <w:drawing>
          <wp:inline distT="0" distB="0" distL="114300" distR="114300">
            <wp:extent cx="5274310" cy="6820535"/>
            <wp:effectExtent l="0" t="0" r="2540" b="18415"/>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6"/>
                    <a:stretch>
                      <a:fillRect/>
                    </a:stretch>
                  </pic:blipFill>
                  <pic:spPr>
                    <a:xfrm>
                      <a:off x="0" y="0"/>
                      <a:ext cx="5274310" cy="6820535"/>
                    </a:xfrm>
                    <a:prstGeom prst="rect">
                      <a:avLst/>
                    </a:prstGeom>
                  </pic:spPr>
                </pic:pic>
              </a:graphicData>
            </a:graphic>
          </wp:inline>
        </w:drawing>
      </w:r>
    </w:p>
    <w:p>
      <w:pPr>
        <w:pStyle w:val="9"/>
        <w:numPr>
          <w:ilvl w:val="0"/>
          <w:numId w:val="0"/>
        </w:numPr>
        <w:spacing w:line="360" w:lineRule="auto"/>
        <w:rPr>
          <w:rFonts w:hint="eastAsia" w:ascii="仿宋" w:hAnsi="仿宋" w:eastAsia="仿宋" w:cs="仿宋"/>
          <w:sz w:val="32"/>
          <w:szCs w:val="32"/>
          <w:lang w:val="en-US" w:eastAsia="zh-CN"/>
        </w:rPr>
      </w:pPr>
    </w:p>
    <w:p>
      <w:pPr>
        <w:pStyle w:val="9"/>
        <w:numPr>
          <w:ilvl w:val="0"/>
          <w:numId w:val="0"/>
        </w:numPr>
        <w:spacing w:line="360" w:lineRule="auto"/>
        <w:rPr>
          <w:rFonts w:hint="eastAsia" w:ascii="仿宋" w:hAnsi="仿宋" w:eastAsia="仿宋" w:cs="仿宋"/>
          <w:sz w:val="32"/>
          <w:szCs w:val="32"/>
          <w:lang w:val="en-US" w:eastAsia="zh-CN"/>
        </w:rPr>
      </w:pPr>
    </w:p>
    <w:p>
      <w:pPr>
        <w:pStyle w:val="9"/>
        <w:numPr>
          <w:ilvl w:val="0"/>
          <w:numId w:val="0"/>
        </w:numPr>
        <w:spacing w:line="360" w:lineRule="auto"/>
        <w:rPr>
          <w:rFonts w:hint="eastAsia" w:ascii="仿宋" w:hAnsi="仿宋" w:eastAsia="仿宋" w:cs="仿宋"/>
          <w:sz w:val="32"/>
          <w:szCs w:val="32"/>
          <w:lang w:val="en-US" w:eastAsia="zh-CN"/>
        </w:rPr>
      </w:pPr>
    </w:p>
    <w:p>
      <w:pPr>
        <w:pStyle w:val="9"/>
        <w:numPr>
          <w:ilvl w:val="0"/>
          <w:numId w:val="0"/>
        </w:numPr>
        <w:spacing w:line="360" w:lineRule="auto"/>
        <w:rPr>
          <w:rFonts w:hint="eastAsia" w:ascii="仿宋" w:hAnsi="仿宋" w:eastAsia="仿宋" w:cs="仿宋"/>
          <w:sz w:val="32"/>
          <w:szCs w:val="32"/>
          <w:lang w:val="en-US" w:eastAsia="zh-CN"/>
        </w:rPr>
      </w:pPr>
    </w:p>
    <w:p>
      <w:pPr>
        <w:pStyle w:val="9"/>
        <w:numPr>
          <w:ilvl w:val="0"/>
          <w:numId w:val="0"/>
        </w:numPr>
        <w:spacing w:line="360" w:lineRule="auto"/>
        <w:jc w:val="both"/>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b/>
          <w:bCs/>
          <w:sz w:val="44"/>
          <w:szCs w:val="44"/>
          <w:lang w:eastAsia="zh-CN"/>
        </w:rPr>
      </w:pPr>
      <w:r>
        <w:rPr>
          <w:rFonts w:hint="eastAsia" w:ascii="宋体" w:hAnsi="宋体" w:eastAsia="宋体" w:cs="宋体"/>
          <w:b/>
          <w:bCs/>
          <w:sz w:val="44"/>
          <w:szCs w:val="44"/>
          <w:lang w:eastAsia="zh-CN"/>
        </w:rPr>
        <w:t>确山县污水处理厂自行监测方案</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883" w:firstLineChars="200"/>
        <w:jc w:val="center"/>
        <w:textAlignment w:val="auto"/>
        <w:outlineLvl w:val="9"/>
        <w:rPr>
          <w:rFonts w:hint="eastAsia" w:ascii="宋体" w:hAnsi="宋体" w:eastAsia="宋体" w:cs="宋体"/>
          <w:b/>
          <w:bCs/>
          <w:sz w:val="44"/>
          <w:szCs w:val="44"/>
          <w:lang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为了给厂内正常生产运行提供连续可靠的化验数据，并</w:t>
      </w:r>
      <w:r>
        <w:rPr>
          <w:rFonts w:hint="eastAsia" w:ascii="仿宋_GB2312" w:hAnsi="仿宋_GB2312" w:eastAsia="仿宋_GB2312" w:cs="仿宋_GB2312"/>
          <w:sz w:val="32"/>
          <w:szCs w:val="32"/>
          <w:lang w:val="en-US" w:eastAsia="zh-CN"/>
        </w:rPr>
        <w:t>响应各级环保部门的号召，完善总量减排监测体系建设，</w:t>
      </w:r>
      <w:r>
        <w:rPr>
          <w:rFonts w:hint="eastAsia" w:ascii="仿宋_GB2312" w:hAnsi="仿宋_GB2312" w:eastAsia="仿宋_GB2312" w:cs="仿宋_GB2312"/>
          <w:sz w:val="32"/>
          <w:szCs w:val="32"/>
          <w:lang w:eastAsia="zh-CN"/>
        </w:rPr>
        <w:t>建立重点企业自行监测信息公开平台的需要，特制定本方案：</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3" w:firstLineChars="200"/>
        <w:jc w:val="both"/>
        <w:textAlignment w:val="auto"/>
        <w:outlineLvl w:val="9"/>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一、基本情况</w:t>
      </w:r>
    </w:p>
    <w:p>
      <w:pPr>
        <w:pStyle w:val="9"/>
        <w:spacing w:line="360" w:lineRule="auto"/>
        <w:ind w:firstLine="640"/>
        <w:rPr>
          <w:rFonts w:hint="eastAsia" w:ascii="仿宋_GB2312" w:hAnsi="仿宋_GB2312" w:eastAsia="仿宋_GB2312"/>
          <w:sz w:val="32"/>
          <w:szCs w:val="32"/>
          <w:lang w:val="en-US" w:eastAsia="zh-CN"/>
        </w:rPr>
      </w:pPr>
      <w:r>
        <w:rPr>
          <w:rFonts w:hint="eastAsia" w:ascii="仿宋_GB2312" w:hAnsi="仿宋_GB2312" w:eastAsia="仿宋_GB2312"/>
          <w:sz w:val="32"/>
          <w:szCs w:val="32"/>
        </w:rPr>
        <w:t>确山县污水处理厂由确山县人民政府委托确山县水务有限公司负责筹建</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设计处理规模2万吨/日，配套管网27.38公里,采用卡鲁塞尔氧化沟工艺,执行国家一级B排放标准。工程于2006年4月开工建设，2007年7月开始试运行，2008年2月通过环保验收。</w:t>
      </w:r>
      <w:r>
        <w:rPr>
          <w:rFonts w:hint="eastAsia" w:ascii="仿宋_GB2312" w:hAnsi="仿宋_GB2312" w:eastAsia="仿宋_GB2312"/>
          <w:sz w:val="32"/>
          <w:szCs w:val="32"/>
          <w:lang w:eastAsia="zh-CN"/>
        </w:rPr>
        <w:t>随着确山县城经济发展及人口增加，确山县污水处理厂改扩建工程于</w:t>
      </w:r>
      <w:r>
        <w:rPr>
          <w:rFonts w:hint="eastAsia" w:ascii="仿宋_GB2312" w:hAnsi="仿宋_GB2312" w:eastAsia="仿宋_GB2312"/>
          <w:sz w:val="32"/>
          <w:szCs w:val="32"/>
          <w:lang w:val="en-US" w:eastAsia="zh-CN"/>
        </w:rPr>
        <w:t>2013年10月开工建设，工程建设内容为：原厂区升级改造1.5</w:t>
      </w:r>
      <w:r>
        <w:rPr>
          <w:rFonts w:hint="eastAsia" w:ascii="仿宋_GB2312" w:hAnsi="仿宋_GB2312" w:eastAsia="仿宋_GB2312"/>
          <w:sz w:val="32"/>
          <w:szCs w:val="32"/>
        </w:rPr>
        <w:t>万吨/日</w:t>
      </w:r>
      <w:r>
        <w:rPr>
          <w:rFonts w:hint="eastAsia" w:ascii="仿宋_GB2312" w:hAnsi="仿宋_GB2312" w:eastAsia="仿宋_GB2312"/>
          <w:sz w:val="32"/>
          <w:szCs w:val="32"/>
          <w:lang w:eastAsia="zh-CN"/>
        </w:rPr>
        <w:t>，扩建</w:t>
      </w:r>
      <w:r>
        <w:rPr>
          <w:rFonts w:hint="eastAsia" w:ascii="仿宋_GB2312" w:hAnsi="仿宋_GB2312" w:eastAsia="仿宋_GB2312"/>
          <w:sz w:val="32"/>
          <w:szCs w:val="32"/>
          <w:lang w:val="en-US" w:eastAsia="zh-CN"/>
        </w:rPr>
        <w:t>2.5万吨/日的污水厂一座，共计4万吨/日，执行国家一级A排放标准。工程于2015年4月试运行，2015年11月通过原厂区升级改造及扩建厂区</w:t>
      </w:r>
      <w:r>
        <w:rPr>
          <w:rFonts w:hint="eastAsia" w:ascii="仿宋_GB2312" w:hAnsi="仿宋_GB2312" w:eastAsia="仿宋_GB2312"/>
          <w:sz w:val="32"/>
          <w:szCs w:val="32"/>
          <w:lang w:eastAsia="zh-CN"/>
        </w:rPr>
        <w:t>单线</w:t>
      </w:r>
      <w:r>
        <w:rPr>
          <w:rFonts w:hint="eastAsia" w:ascii="仿宋_GB2312" w:hAnsi="仿宋_GB2312" w:eastAsia="仿宋_GB2312"/>
          <w:sz w:val="32"/>
          <w:szCs w:val="32"/>
          <w:lang w:val="en-US" w:eastAsia="zh-CN"/>
        </w:rPr>
        <w:t>1.25万吨/日的环保竣工验收，2018年11月升级改造及扩建厂区剩余单线1.25万吨/日也环保竣工验收。自此确山县污水厂及其升级改造工程共计4万吨/日已全部环保竣工验收正常运行。</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3" w:firstLineChars="200"/>
        <w:jc w:val="both"/>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二、监测依据</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1、原国家环境保护局第10号令《排放污染物申报登记管理规定》1992年；</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2、原国家环境保护局第39号令《环境监测管理办法》2007年；</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3、国务院办公厅国办发[2013]4号《“十二五”主要污染物总量减排考核办法》2013年；</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4、环保部、国家统计局、国家发改委、监察部文件环发[2013]14号《“十二五”主要污染物总量减排监测办法》2013年；</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5、《国家重点监控企业自行监测及信息公开办法》（试行）；</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6、《城镇污水处理厂污染物排放标准》（GB 18918-2002）</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3" w:firstLineChars="200"/>
        <w:jc w:val="both"/>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三、污染源及治理措施</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我厂主要污染源为城镇生活污水；</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治理措施为：活性污染卡鲁塞尔氧化沟工艺；</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排放去向：小沙河</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3" w:firstLineChars="200"/>
        <w:jc w:val="both"/>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四、评价标准</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1、监测执行标准：《城镇污水处理厂污染物排放标准》（GB 18918-2002）一级A。</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2、标准限值及监测频次（COD、氨氮、总磷、总氮、PH值为在线自动监控系统监测，其他项目为手工监测）</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3"/>
        <w:gridCol w:w="1822"/>
        <w:gridCol w:w="4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8500" w:type="dxa"/>
            <w:gridSpan w:val="3"/>
            <w:noWrap w:val="0"/>
            <w:vAlign w:val="center"/>
          </w:tcPr>
          <w:p>
            <w:pPr>
              <w:adjustRightInd w:val="0"/>
              <w:snapToGrid w:val="0"/>
              <w:spacing w:line="400" w:lineRule="exact"/>
              <w:jc w:val="center"/>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无组织废气检测执行标准及限值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2653" w:type="dxa"/>
            <w:noWrap w:val="0"/>
            <w:vAlign w:val="center"/>
          </w:tcPr>
          <w:p>
            <w:pPr>
              <w:adjustRightInd w:val="0"/>
              <w:snapToGrid w:val="0"/>
              <w:spacing w:line="400" w:lineRule="exact"/>
              <w:jc w:val="center"/>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污染物</w:t>
            </w:r>
          </w:p>
        </w:tc>
        <w:tc>
          <w:tcPr>
            <w:tcW w:w="1822" w:type="dxa"/>
            <w:noWrap w:val="0"/>
            <w:vAlign w:val="center"/>
          </w:tcPr>
          <w:p>
            <w:pPr>
              <w:adjustRightInd w:val="0"/>
              <w:snapToGrid w:val="0"/>
              <w:spacing w:line="400" w:lineRule="exact"/>
              <w:jc w:val="center"/>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排放限值</w:t>
            </w:r>
          </w:p>
        </w:tc>
        <w:tc>
          <w:tcPr>
            <w:tcW w:w="4025" w:type="dxa"/>
            <w:noWrap w:val="0"/>
            <w:vAlign w:val="center"/>
          </w:tcPr>
          <w:p>
            <w:pPr>
              <w:adjustRightInd w:val="0"/>
              <w:snapToGrid w:val="0"/>
              <w:spacing w:line="400" w:lineRule="exact"/>
              <w:jc w:val="center"/>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排放执行标准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2653" w:type="dxa"/>
            <w:noWrap w:val="0"/>
            <w:vAlign w:val="center"/>
          </w:tcPr>
          <w:p>
            <w:pPr>
              <w:adjustRightInd w:val="0"/>
              <w:snapToGrid w:val="0"/>
              <w:spacing w:line="400" w:lineRule="exact"/>
              <w:jc w:val="center"/>
              <w:rPr>
                <w:rFonts w:hint="eastAsia" w:ascii="宋体" w:hAnsi="宋体" w:eastAsia="宋体" w:cs="宋体"/>
                <w:bCs/>
                <w:color w:val="000000"/>
                <w:kern w:val="2"/>
                <w:sz w:val="24"/>
                <w:szCs w:val="24"/>
                <w:lang w:val="en-US" w:eastAsia="zh-CN" w:bidi="ar-SA"/>
              </w:rPr>
            </w:pPr>
            <w:r>
              <w:rPr>
                <w:rFonts w:hint="eastAsia" w:ascii="宋体" w:hAnsi="宋体" w:eastAsia="宋体" w:cs="宋体"/>
                <w:bCs/>
                <w:color w:val="000000"/>
                <w:sz w:val="24"/>
                <w:szCs w:val="24"/>
                <w:lang w:val="en-US" w:eastAsia="zh-CN"/>
              </w:rPr>
              <w:t>氨（氨气）</w:t>
            </w:r>
          </w:p>
        </w:tc>
        <w:tc>
          <w:tcPr>
            <w:tcW w:w="1822" w:type="dxa"/>
            <w:noWrap w:val="0"/>
            <w:vAlign w:val="center"/>
          </w:tcPr>
          <w:p>
            <w:pPr>
              <w:spacing w:line="320" w:lineRule="exact"/>
              <w:jc w:val="center"/>
              <w:rPr>
                <w:rFonts w:hint="eastAsia" w:ascii="宋体" w:hAnsi="宋体" w:eastAsia="宋体" w:cs="宋体"/>
                <w:bCs/>
                <w:color w:val="000000"/>
                <w:kern w:val="2"/>
                <w:sz w:val="24"/>
                <w:szCs w:val="24"/>
                <w:lang w:val="en-US" w:eastAsia="zh-CN" w:bidi="ar-SA"/>
              </w:rPr>
            </w:pPr>
            <w:r>
              <w:rPr>
                <w:rFonts w:hint="eastAsia" w:ascii="宋体" w:hAnsi="宋体" w:eastAsia="宋体" w:cs="宋体"/>
                <w:bCs/>
                <w:color w:val="000000"/>
                <w:sz w:val="24"/>
                <w:szCs w:val="24"/>
                <w:lang w:val="en-US" w:eastAsia="zh-CN"/>
              </w:rPr>
              <w:t>1.5mg/Nm</w:t>
            </w:r>
            <w:r>
              <w:rPr>
                <w:rFonts w:hint="eastAsia" w:ascii="宋体" w:hAnsi="宋体" w:eastAsia="宋体" w:cs="宋体"/>
                <w:bCs/>
                <w:color w:val="000000"/>
                <w:sz w:val="24"/>
                <w:szCs w:val="24"/>
                <w:vertAlign w:val="superscript"/>
                <w:lang w:val="en-US" w:eastAsia="zh-CN"/>
              </w:rPr>
              <w:t>3</w:t>
            </w:r>
          </w:p>
        </w:tc>
        <w:tc>
          <w:tcPr>
            <w:tcW w:w="4025" w:type="dxa"/>
            <w:vMerge w:val="restart"/>
            <w:noWrap w:val="0"/>
            <w:vAlign w:val="center"/>
          </w:tcPr>
          <w:p>
            <w:pPr>
              <w:spacing w:line="320" w:lineRule="exact"/>
              <w:jc w:val="center"/>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《城镇污水处理厂污染物排放标准》</w:t>
            </w:r>
          </w:p>
          <w:p>
            <w:pPr>
              <w:spacing w:line="320" w:lineRule="exact"/>
              <w:jc w:val="center"/>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（GB 18918-2002）标准限值要求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2653" w:type="dxa"/>
            <w:noWrap w:val="0"/>
            <w:vAlign w:val="center"/>
          </w:tcPr>
          <w:p>
            <w:pPr>
              <w:adjustRightInd w:val="0"/>
              <w:snapToGrid w:val="0"/>
              <w:spacing w:line="400" w:lineRule="exact"/>
              <w:jc w:val="center"/>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甲烷</w:t>
            </w:r>
          </w:p>
        </w:tc>
        <w:tc>
          <w:tcPr>
            <w:tcW w:w="1822" w:type="dxa"/>
            <w:noWrap w:val="0"/>
            <w:vAlign w:val="center"/>
          </w:tcPr>
          <w:p>
            <w:pPr>
              <w:spacing w:line="320" w:lineRule="exact"/>
              <w:jc w:val="center"/>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1%</w:t>
            </w:r>
          </w:p>
        </w:tc>
        <w:tc>
          <w:tcPr>
            <w:tcW w:w="4025" w:type="dxa"/>
            <w:vMerge w:val="continue"/>
            <w:noWrap w:val="0"/>
            <w:vAlign w:val="center"/>
          </w:tcPr>
          <w:p>
            <w:pPr>
              <w:spacing w:line="320" w:lineRule="exact"/>
              <w:jc w:val="center"/>
              <w:rPr>
                <w:rFonts w:hint="eastAsia" w:ascii="宋体" w:hAnsi="宋体" w:eastAsia="宋体" w:cs="宋体"/>
                <w:bCs/>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2653" w:type="dxa"/>
            <w:noWrap w:val="0"/>
            <w:vAlign w:val="center"/>
          </w:tcPr>
          <w:p>
            <w:pPr>
              <w:adjustRightInd w:val="0"/>
              <w:snapToGrid w:val="0"/>
              <w:spacing w:line="400" w:lineRule="exact"/>
              <w:jc w:val="center"/>
              <w:rPr>
                <w:rFonts w:hint="eastAsia" w:ascii="宋体" w:hAnsi="宋体" w:eastAsia="宋体" w:cs="宋体"/>
                <w:bCs/>
                <w:color w:val="000000"/>
                <w:kern w:val="2"/>
                <w:sz w:val="24"/>
                <w:szCs w:val="24"/>
                <w:lang w:val="en-US" w:eastAsia="zh-CN" w:bidi="ar-SA"/>
              </w:rPr>
            </w:pPr>
            <w:r>
              <w:rPr>
                <w:rFonts w:hint="eastAsia" w:ascii="宋体" w:hAnsi="宋体" w:eastAsia="宋体" w:cs="宋体"/>
                <w:bCs/>
                <w:color w:val="000000"/>
                <w:sz w:val="24"/>
                <w:szCs w:val="24"/>
                <w:lang w:val="en-US" w:eastAsia="zh-CN"/>
              </w:rPr>
              <w:t>硫化氢</w:t>
            </w:r>
          </w:p>
        </w:tc>
        <w:tc>
          <w:tcPr>
            <w:tcW w:w="1822" w:type="dxa"/>
            <w:noWrap w:val="0"/>
            <w:vAlign w:val="center"/>
          </w:tcPr>
          <w:p>
            <w:pPr>
              <w:spacing w:line="320" w:lineRule="exact"/>
              <w:jc w:val="center"/>
              <w:rPr>
                <w:rFonts w:hint="eastAsia" w:ascii="宋体" w:hAnsi="宋体" w:eastAsia="宋体" w:cs="宋体"/>
                <w:bCs/>
                <w:color w:val="000000"/>
                <w:kern w:val="2"/>
                <w:sz w:val="24"/>
                <w:szCs w:val="24"/>
                <w:lang w:val="en-US" w:eastAsia="zh-CN" w:bidi="ar-SA"/>
              </w:rPr>
            </w:pPr>
            <w:r>
              <w:rPr>
                <w:rFonts w:hint="eastAsia" w:ascii="宋体" w:hAnsi="宋体" w:eastAsia="宋体" w:cs="宋体"/>
                <w:bCs/>
                <w:color w:val="000000"/>
                <w:sz w:val="24"/>
                <w:szCs w:val="24"/>
                <w:lang w:val="en-US" w:eastAsia="zh-CN"/>
              </w:rPr>
              <w:t>0.06mg/Nm</w:t>
            </w:r>
            <w:r>
              <w:rPr>
                <w:rFonts w:hint="eastAsia" w:ascii="宋体" w:hAnsi="宋体" w:eastAsia="宋体" w:cs="宋体"/>
                <w:bCs/>
                <w:color w:val="000000"/>
                <w:sz w:val="24"/>
                <w:szCs w:val="24"/>
                <w:vertAlign w:val="superscript"/>
                <w:lang w:val="en-US" w:eastAsia="zh-CN"/>
              </w:rPr>
              <w:t>3</w:t>
            </w:r>
          </w:p>
        </w:tc>
        <w:tc>
          <w:tcPr>
            <w:tcW w:w="4025" w:type="dxa"/>
            <w:vMerge w:val="continue"/>
            <w:noWrap w:val="0"/>
            <w:vAlign w:val="center"/>
          </w:tcPr>
          <w:p>
            <w:pPr>
              <w:spacing w:line="320" w:lineRule="exact"/>
              <w:jc w:val="center"/>
              <w:rPr>
                <w:rFonts w:hint="eastAsia" w:ascii="宋体" w:hAnsi="宋体" w:eastAsia="宋体" w:cs="宋体"/>
                <w:bCs/>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2653" w:type="dxa"/>
            <w:noWrap w:val="0"/>
            <w:vAlign w:val="center"/>
          </w:tcPr>
          <w:p>
            <w:pPr>
              <w:adjustRightInd w:val="0"/>
              <w:snapToGrid w:val="0"/>
              <w:spacing w:line="400" w:lineRule="exact"/>
              <w:jc w:val="center"/>
              <w:rPr>
                <w:rFonts w:hint="eastAsia" w:ascii="宋体" w:hAnsi="宋体" w:eastAsia="宋体" w:cs="宋体"/>
                <w:bCs/>
                <w:color w:val="000000"/>
                <w:kern w:val="2"/>
                <w:sz w:val="24"/>
                <w:szCs w:val="24"/>
                <w:lang w:val="en-US" w:eastAsia="zh-CN" w:bidi="ar-SA"/>
              </w:rPr>
            </w:pPr>
            <w:r>
              <w:rPr>
                <w:rFonts w:hint="eastAsia" w:ascii="宋体" w:hAnsi="宋体" w:eastAsia="宋体" w:cs="宋体"/>
                <w:bCs/>
                <w:color w:val="000000"/>
                <w:sz w:val="24"/>
                <w:szCs w:val="24"/>
                <w:lang w:val="en-US" w:eastAsia="zh-CN"/>
              </w:rPr>
              <w:t>臭气浓度</w:t>
            </w:r>
          </w:p>
        </w:tc>
        <w:tc>
          <w:tcPr>
            <w:tcW w:w="1822" w:type="dxa"/>
            <w:noWrap w:val="0"/>
            <w:vAlign w:val="center"/>
          </w:tcPr>
          <w:p>
            <w:pPr>
              <w:tabs>
                <w:tab w:val="left" w:pos="535"/>
              </w:tabs>
              <w:jc w:val="center"/>
              <w:rPr>
                <w:rFonts w:hint="eastAsia" w:ascii="宋体" w:hAnsi="宋体" w:eastAsia="宋体" w:cs="宋体"/>
                <w:bCs/>
                <w:color w:val="000000"/>
                <w:kern w:val="2"/>
                <w:sz w:val="24"/>
                <w:szCs w:val="24"/>
                <w:lang w:val="en-US" w:eastAsia="zh-CN" w:bidi="ar-SA"/>
              </w:rPr>
            </w:pPr>
            <w:r>
              <w:rPr>
                <w:rFonts w:hint="eastAsia" w:ascii="宋体" w:hAnsi="宋体" w:eastAsia="宋体" w:cs="宋体"/>
                <w:bCs/>
                <w:color w:val="000000"/>
                <w:sz w:val="24"/>
                <w:szCs w:val="24"/>
                <w:lang w:val="en-US" w:eastAsia="zh-CN"/>
              </w:rPr>
              <w:t>20</w:t>
            </w:r>
          </w:p>
        </w:tc>
        <w:tc>
          <w:tcPr>
            <w:tcW w:w="4025" w:type="dxa"/>
            <w:vMerge w:val="continue"/>
            <w:noWrap w:val="0"/>
            <w:vAlign w:val="center"/>
          </w:tcPr>
          <w:p>
            <w:pPr>
              <w:spacing w:line="320" w:lineRule="exact"/>
              <w:jc w:val="center"/>
              <w:rPr>
                <w:rFonts w:hint="eastAsia" w:ascii="宋体" w:hAnsi="宋体" w:eastAsia="宋体" w:cs="宋体"/>
                <w:bCs/>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500" w:type="dxa"/>
            <w:gridSpan w:val="3"/>
            <w:noWrap w:val="0"/>
            <w:vAlign w:val="center"/>
          </w:tcPr>
          <w:p>
            <w:pPr>
              <w:adjustRightInd w:val="0"/>
              <w:snapToGrid w:val="0"/>
              <w:spacing w:line="400" w:lineRule="exact"/>
              <w:jc w:val="center"/>
              <w:rPr>
                <w:rFonts w:hint="eastAsia" w:ascii="宋体" w:hAnsi="宋体" w:eastAsia="宋体" w:cs="宋体"/>
                <w:b/>
                <w:bCs w:val="0"/>
                <w:color w:val="000000"/>
                <w:sz w:val="24"/>
                <w:szCs w:val="24"/>
                <w:lang w:val="en-US" w:eastAsia="zh-CN"/>
              </w:rPr>
            </w:pPr>
            <w:r>
              <w:rPr>
                <w:rFonts w:hint="eastAsia" w:ascii="宋体" w:hAnsi="宋体" w:eastAsia="宋体" w:cs="宋体"/>
                <w:b/>
                <w:bCs w:val="0"/>
                <w:color w:val="000000"/>
                <w:sz w:val="24"/>
                <w:szCs w:val="24"/>
                <w:lang w:val="en-US" w:eastAsia="zh-CN"/>
              </w:rPr>
              <w:t>废水检测执行标准及限值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2653" w:type="dxa"/>
            <w:noWrap w:val="0"/>
            <w:vAlign w:val="center"/>
          </w:tcPr>
          <w:p>
            <w:pPr>
              <w:adjustRightInd w:val="0"/>
              <w:snapToGrid w:val="0"/>
              <w:spacing w:line="400" w:lineRule="exact"/>
              <w:jc w:val="center"/>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污染物</w:t>
            </w:r>
          </w:p>
        </w:tc>
        <w:tc>
          <w:tcPr>
            <w:tcW w:w="1822" w:type="dxa"/>
            <w:noWrap w:val="0"/>
            <w:vAlign w:val="center"/>
          </w:tcPr>
          <w:p>
            <w:pPr>
              <w:adjustRightInd w:val="0"/>
              <w:snapToGrid w:val="0"/>
              <w:spacing w:line="400" w:lineRule="exact"/>
              <w:jc w:val="center"/>
              <w:rPr>
                <w:rFonts w:hint="eastAsia" w:ascii="宋体" w:hAnsi="宋体" w:eastAsia="宋体" w:cs="宋体"/>
                <w:sz w:val="24"/>
                <w:szCs w:val="24"/>
                <w:vertAlign w:val="baseline"/>
                <w:lang w:val="en-US" w:eastAsia="zh-CN"/>
              </w:rPr>
            </w:pPr>
            <w:r>
              <w:rPr>
                <w:rFonts w:hint="eastAsia" w:ascii="宋体" w:hAnsi="宋体" w:eastAsia="宋体" w:cs="宋体"/>
                <w:bCs/>
                <w:color w:val="000000"/>
                <w:sz w:val="24"/>
                <w:szCs w:val="24"/>
                <w:lang w:val="en-US" w:eastAsia="zh-CN"/>
              </w:rPr>
              <w:t>排放限值</w:t>
            </w:r>
          </w:p>
        </w:tc>
        <w:tc>
          <w:tcPr>
            <w:tcW w:w="4025" w:type="dxa"/>
            <w:noWrap w:val="0"/>
            <w:vAlign w:val="center"/>
          </w:tcPr>
          <w:p>
            <w:pPr>
              <w:adjustRightInd w:val="0"/>
              <w:snapToGrid w:val="0"/>
              <w:spacing w:line="400" w:lineRule="exact"/>
              <w:jc w:val="center"/>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排放执行标准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653" w:type="dxa"/>
            <w:noWrap w:val="0"/>
            <w:vAlign w:val="center"/>
          </w:tcPr>
          <w:p>
            <w:pPr>
              <w:adjustRightInd w:val="0"/>
              <w:snapToGrid w:val="0"/>
              <w:spacing w:line="400" w:lineRule="exact"/>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pH</w:t>
            </w:r>
          </w:p>
        </w:tc>
        <w:tc>
          <w:tcPr>
            <w:tcW w:w="1822" w:type="dxa"/>
            <w:noWrap w:val="0"/>
            <w:vAlign w:val="center"/>
          </w:tcPr>
          <w:p>
            <w:pPr>
              <w:tabs>
                <w:tab w:val="left" w:pos="535"/>
              </w:tabs>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6~9</w:t>
            </w:r>
          </w:p>
        </w:tc>
        <w:tc>
          <w:tcPr>
            <w:tcW w:w="4025" w:type="dxa"/>
            <w:vMerge w:val="restart"/>
            <w:noWrap w:val="0"/>
            <w:vAlign w:val="center"/>
          </w:tcPr>
          <w:p>
            <w:pPr>
              <w:spacing w:line="320" w:lineRule="exact"/>
              <w:jc w:val="center"/>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《城镇污水处理厂污染物排放标准》</w:t>
            </w:r>
          </w:p>
          <w:p>
            <w:pPr>
              <w:adjustRightInd w:val="0"/>
              <w:snapToGrid w:val="0"/>
              <w:spacing w:line="400" w:lineRule="exact"/>
              <w:jc w:val="center"/>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（GB 18918-2002）表1中一级标准A标准同时满足排污许可证限值要求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653" w:type="dxa"/>
            <w:noWrap w:val="0"/>
            <w:vAlign w:val="center"/>
          </w:tcPr>
          <w:p>
            <w:pPr>
              <w:adjustRightInd w:val="0"/>
              <w:snapToGrid w:val="0"/>
              <w:spacing w:line="400" w:lineRule="exact"/>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水温</w:t>
            </w:r>
          </w:p>
        </w:tc>
        <w:tc>
          <w:tcPr>
            <w:tcW w:w="1822" w:type="dxa"/>
            <w:noWrap w:val="0"/>
            <w:vAlign w:val="center"/>
          </w:tcPr>
          <w:p>
            <w:pPr>
              <w:tabs>
                <w:tab w:val="left" w:pos="535"/>
              </w:tabs>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w:t>
            </w:r>
          </w:p>
        </w:tc>
        <w:tc>
          <w:tcPr>
            <w:tcW w:w="4025" w:type="dxa"/>
            <w:vMerge w:val="continue"/>
            <w:noWrap w:val="0"/>
            <w:vAlign w:val="center"/>
          </w:tcPr>
          <w:p>
            <w:pPr>
              <w:adjustRightInd w:val="0"/>
              <w:snapToGrid w:val="0"/>
              <w:spacing w:line="400" w:lineRule="exact"/>
              <w:jc w:val="center"/>
              <w:rPr>
                <w:rFonts w:hint="eastAsia" w:ascii="宋体" w:hAnsi="宋体" w:eastAsia="宋体" w:cs="宋体"/>
                <w:bCs/>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653" w:type="dxa"/>
            <w:noWrap w:val="0"/>
            <w:vAlign w:val="center"/>
          </w:tcPr>
          <w:p>
            <w:pPr>
              <w:adjustRightInd w:val="0"/>
              <w:snapToGrid w:val="0"/>
              <w:spacing w:line="400" w:lineRule="exact"/>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流量</w:t>
            </w:r>
          </w:p>
        </w:tc>
        <w:tc>
          <w:tcPr>
            <w:tcW w:w="1822" w:type="dxa"/>
            <w:noWrap w:val="0"/>
            <w:vAlign w:val="center"/>
          </w:tcPr>
          <w:p>
            <w:pPr>
              <w:tabs>
                <w:tab w:val="left" w:pos="535"/>
              </w:tabs>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w:t>
            </w:r>
          </w:p>
        </w:tc>
        <w:tc>
          <w:tcPr>
            <w:tcW w:w="4025" w:type="dxa"/>
            <w:vMerge w:val="continue"/>
            <w:noWrap w:val="0"/>
            <w:vAlign w:val="center"/>
          </w:tcPr>
          <w:p>
            <w:pPr>
              <w:adjustRightInd w:val="0"/>
              <w:snapToGrid w:val="0"/>
              <w:spacing w:line="400" w:lineRule="exact"/>
              <w:jc w:val="center"/>
              <w:rPr>
                <w:rFonts w:hint="eastAsia" w:ascii="宋体" w:hAnsi="宋体" w:eastAsia="宋体" w:cs="宋体"/>
                <w:bCs/>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653" w:type="dxa"/>
            <w:noWrap w:val="0"/>
            <w:vAlign w:val="center"/>
          </w:tcPr>
          <w:p>
            <w:pPr>
              <w:adjustRightInd w:val="0"/>
              <w:snapToGrid w:val="0"/>
              <w:spacing w:line="400" w:lineRule="exact"/>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化学需氧量</w:t>
            </w:r>
          </w:p>
        </w:tc>
        <w:tc>
          <w:tcPr>
            <w:tcW w:w="1822" w:type="dxa"/>
            <w:noWrap w:val="0"/>
            <w:vAlign w:val="center"/>
          </w:tcPr>
          <w:p>
            <w:pPr>
              <w:tabs>
                <w:tab w:val="left" w:pos="535"/>
              </w:tabs>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50</w:t>
            </w:r>
            <w:r>
              <w:rPr>
                <w:rFonts w:hint="eastAsia" w:ascii="宋体" w:hAnsi="宋体" w:eastAsia="宋体" w:cs="宋体"/>
                <w:bCs/>
                <w:color w:val="auto"/>
                <w:sz w:val="24"/>
                <w:szCs w:val="24"/>
                <w:lang w:val="en-US" w:eastAsia="zh-CN"/>
              </w:rPr>
              <w:t>mg/L</w:t>
            </w:r>
          </w:p>
        </w:tc>
        <w:tc>
          <w:tcPr>
            <w:tcW w:w="4025" w:type="dxa"/>
            <w:vMerge w:val="continue"/>
            <w:noWrap w:val="0"/>
            <w:vAlign w:val="center"/>
          </w:tcPr>
          <w:p>
            <w:pPr>
              <w:adjustRightInd w:val="0"/>
              <w:snapToGrid w:val="0"/>
              <w:spacing w:line="400" w:lineRule="exact"/>
              <w:jc w:val="center"/>
              <w:rPr>
                <w:rFonts w:hint="eastAsia" w:ascii="宋体" w:hAnsi="宋体" w:eastAsia="宋体" w:cs="宋体"/>
                <w:bCs/>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653" w:type="dxa"/>
            <w:noWrap w:val="0"/>
            <w:vAlign w:val="center"/>
          </w:tcPr>
          <w:p>
            <w:pPr>
              <w:adjustRightInd w:val="0"/>
              <w:snapToGrid w:val="0"/>
              <w:spacing w:line="400" w:lineRule="exact"/>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氨氮</w:t>
            </w:r>
          </w:p>
        </w:tc>
        <w:tc>
          <w:tcPr>
            <w:tcW w:w="1822" w:type="dxa"/>
            <w:noWrap w:val="0"/>
            <w:vAlign w:val="center"/>
          </w:tcPr>
          <w:p>
            <w:pPr>
              <w:tabs>
                <w:tab w:val="left" w:pos="535"/>
              </w:tabs>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5</w:t>
            </w:r>
            <w:r>
              <w:rPr>
                <w:rFonts w:hint="eastAsia" w:ascii="宋体" w:hAnsi="宋体" w:eastAsia="宋体" w:cs="宋体"/>
                <w:bCs/>
                <w:color w:val="auto"/>
                <w:sz w:val="24"/>
                <w:szCs w:val="24"/>
                <w:lang w:val="en-US" w:eastAsia="zh-CN"/>
              </w:rPr>
              <w:t>mg/L</w:t>
            </w:r>
          </w:p>
        </w:tc>
        <w:tc>
          <w:tcPr>
            <w:tcW w:w="4025" w:type="dxa"/>
            <w:vMerge w:val="continue"/>
            <w:noWrap w:val="0"/>
            <w:vAlign w:val="center"/>
          </w:tcPr>
          <w:p>
            <w:pPr>
              <w:adjustRightInd w:val="0"/>
              <w:snapToGrid w:val="0"/>
              <w:spacing w:line="400" w:lineRule="exact"/>
              <w:jc w:val="center"/>
              <w:rPr>
                <w:rFonts w:hint="eastAsia" w:ascii="宋体" w:hAnsi="宋体" w:eastAsia="宋体" w:cs="宋体"/>
                <w:bCs/>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653" w:type="dxa"/>
            <w:noWrap w:val="0"/>
            <w:vAlign w:val="center"/>
          </w:tcPr>
          <w:p>
            <w:pPr>
              <w:adjustRightInd w:val="0"/>
              <w:snapToGrid w:val="0"/>
              <w:spacing w:line="400" w:lineRule="exact"/>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悬浮物</w:t>
            </w:r>
          </w:p>
        </w:tc>
        <w:tc>
          <w:tcPr>
            <w:tcW w:w="1822" w:type="dxa"/>
            <w:noWrap w:val="0"/>
            <w:vAlign w:val="center"/>
          </w:tcPr>
          <w:p>
            <w:pPr>
              <w:tabs>
                <w:tab w:val="left" w:pos="535"/>
              </w:tabs>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10</w:t>
            </w:r>
            <w:r>
              <w:rPr>
                <w:rFonts w:hint="eastAsia" w:ascii="宋体" w:hAnsi="宋体" w:eastAsia="宋体" w:cs="宋体"/>
                <w:bCs/>
                <w:color w:val="auto"/>
                <w:sz w:val="24"/>
                <w:szCs w:val="24"/>
                <w:lang w:val="en-US" w:eastAsia="zh-CN"/>
              </w:rPr>
              <w:t>mg/L</w:t>
            </w:r>
          </w:p>
        </w:tc>
        <w:tc>
          <w:tcPr>
            <w:tcW w:w="4025" w:type="dxa"/>
            <w:vMerge w:val="restart"/>
            <w:noWrap w:val="0"/>
            <w:vAlign w:val="center"/>
          </w:tcPr>
          <w:p>
            <w:pPr>
              <w:spacing w:line="320" w:lineRule="exact"/>
              <w:jc w:val="center"/>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《城镇污水处理厂污染物排放标准》</w:t>
            </w:r>
          </w:p>
          <w:p>
            <w:pPr>
              <w:adjustRightInd w:val="0"/>
              <w:snapToGrid w:val="0"/>
              <w:spacing w:line="400" w:lineRule="exact"/>
              <w:jc w:val="center"/>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（GB 18918-2002）表1中一级标准A标准同时满足排污许可证限值要求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653" w:type="dxa"/>
            <w:noWrap w:val="0"/>
            <w:vAlign w:val="center"/>
          </w:tcPr>
          <w:p>
            <w:pPr>
              <w:adjustRightInd w:val="0"/>
              <w:snapToGrid w:val="0"/>
              <w:spacing w:line="400" w:lineRule="exact"/>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总磷</w:t>
            </w:r>
          </w:p>
        </w:tc>
        <w:tc>
          <w:tcPr>
            <w:tcW w:w="1822" w:type="dxa"/>
            <w:noWrap w:val="0"/>
            <w:vAlign w:val="center"/>
          </w:tcPr>
          <w:p>
            <w:pPr>
              <w:tabs>
                <w:tab w:val="left" w:pos="535"/>
              </w:tabs>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0.5</w:t>
            </w:r>
            <w:r>
              <w:rPr>
                <w:rFonts w:hint="eastAsia" w:ascii="宋体" w:hAnsi="宋体" w:eastAsia="宋体" w:cs="宋体"/>
                <w:bCs/>
                <w:color w:val="auto"/>
                <w:sz w:val="24"/>
                <w:szCs w:val="24"/>
                <w:lang w:val="en-US" w:eastAsia="zh-CN"/>
              </w:rPr>
              <w:t>mg/L</w:t>
            </w:r>
          </w:p>
        </w:tc>
        <w:tc>
          <w:tcPr>
            <w:tcW w:w="4025" w:type="dxa"/>
            <w:vMerge w:val="continue"/>
            <w:noWrap w:val="0"/>
            <w:vAlign w:val="center"/>
          </w:tcPr>
          <w:p>
            <w:pPr>
              <w:adjustRightInd w:val="0"/>
              <w:snapToGrid w:val="0"/>
              <w:spacing w:line="400" w:lineRule="exact"/>
              <w:jc w:val="center"/>
              <w:rPr>
                <w:rFonts w:hint="eastAsia" w:ascii="宋体" w:hAnsi="宋体" w:eastAsia="宋体" w:cs="宋体"/>
                <w:bCs/>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653" w:type="dxa"/>
            <w:noWrap w:val="0"/>
            <w:vAlign w:val="center"/>
          </w:tcPr>
          <w:p>
            <w:pPr>
              <w:adjustRightInd w:val="0"/>
              <w:snapToGrid w:val="0"/>
              <w:spacing w:line="400" w:lineRule="exact"/>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色度</w:t>
            </w:r>
          </w:p>
        </w:tc>
        <w:tc>
          <w:tcPr>
            <w:tcW w:w="1822" w:type="dxa"/>
            <w:noWrap w:val="0"/>
            <w:vAlign w:val="center"/>
          </w:tcPr>
          <w:p>
            <w:pPr>
              <w:tabs>
                <w:tab w:val="left" w:pos="535"/>
              </w:tabs>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30</w:t>
            </w:r>
          </w:p>
        </w:tc>
        <w:tc>
          <w:tcPr>
            <w:tcW w:w="4025" w:type="dxa"/>
            <w:vMerge w:val="continue"/>
            <w:noWrap w:val="0"/>
            <w:vAlign w:val="center"/>
          </w:tcPr>
          <w:p>
            <w:pPr>
              <w:adjustRightInd w:val="0"/>
              <w:snapToGrid w:val="0"/>
              <w:spacing w:line="400" w:lineRule="exact"/>
              <w:jc w:val="center"/>
              <w:rPr>
                <w:rFonts w:hint="eastAsia" w:ascii="宋体" w:hAnsi="宋体" w:eastAsia="宋体" w:cs="宋体"/>
                <w:bCs/>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653" w:type="dxa"/>
            <w:noWrap w:val="0"/>
            <w:vAlign w:val="center"/>
          </w:tcPr>
          <w:p>
            <w:pPr>
              <w:adjustRightInd w:val="0"/>
              <w:snapToGrid w:val="0"/>
              <w:spacing w:line="400" w:lineRule="exact"/>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总氮</w:t>
            </w:r>
          </w:p>
        </w:tc>
        <w:tc>
          <w:tcPr>
            <w:tcW w:w="1822" w:type="dxa"/>
            <w:noWrap w:val="0"/>
            <w:vAlign w:val="center"/>
          </w:tcPr>
          <w:p>
            <w:pPr>
              <w:tabs>
                <w:tab w:val="left" w:pos="535"/>
              </w:tabs>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15</w:t>
            </w:r>
            <w:r>
              <w:rPr>
                <w:rFonts w:hint="eastAsia" w:ascii="宋体" w:hAnsi="宋体" w:eastAsia="宋体" w:cs="宋体"/>
                <w:bCs/>
                <w:color w:val="auto"/>
                <w:sz w:val="24"/>
                <w:szCs w:val="24"/>
                <w:lang w:val="en-US" w:eastAsia="zh-CN"/>
              </w:rPr>
              <w:t>mg/L</w:t>
            </w:r>
          </w:p>
        </w:tc>
        <w:tc>
          <w:tcPr>
            <w:tcW w:w="4025" w:type="dxa"/>
            <w:vMerge w:val="continue"/>
            <w:noWrap w:val="0"/>
            <w:vAlign w:val="center"/>
          </w:tcPr>
          <w:p>
            <w:pPr>
              <w:adjustRightInd w:val="0"/>
              <w:snapToGrid w:val="0"/>
              <w:spacing w:line="400" w:lineRule="exact"/>
              <w:jc w:val="center"/>
              <w:rPr>
                <w:rFonts w:hint="eastAsia" w:ascii="宋体" w:hAnsi="宋体" w:eastAsia="宋体" w:cs="宋体"/>
                <w:bCs/>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653" w:type="dxa"/>
            <w:noWrap w:val="0"/>
            <w:vAlign w:val="center"/>
          </w:tcPr>
          <w:p>
            <w:pPr>
              <w:adjustRightInd w:val="0"/>
              <w:snapToGrid w:val="0"/>
              <w:spacing w:line="400" w:lineRule="exact"/>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五日生化需氧量</w:t>
            </w:r>
          </w:p>
        </w:tc>
        <w:tc>
          <w:tcPr>
            <w:tcW w:w="1822" w:type="dxa"/>
            <w:noWrap w:val="0"/>
            <w:vAlign w:val="center"/>
          </w:tcPr>
          <w:p>
            <w:pPr>
              <w:tabs>
                <w:tab w:val="left" w:pos="535"/>
              </w:tabs>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10</w:t>
            </w:r>
            <w:r>
              <w:rPr>
                <w:rFonts w:hint="eastAsia" w:ascii="宋体" w:hAnsi="宋体" w:eastAsia="宋体" w:cs="宋体"/>
                <w:bCs/>
                <w:color w:val="auto"/>
                <w:sz w:val="24"/>
                <w:szCs w:val="24"/>
                <w:lang w:val="en-US" w:eastAsia="zh-CN"/>
              </w:rPr>
              <w:t>mg/L</w:t>
            </w:r>
          </w:p>
        </w:tc>
        <w:tc>
          <w:tcPr>
            <w:tcW w:w="4025" w:type="dxa"/>
            <w:vMerge w:val="continue"/>
            <w:noWrap w:val="0"/>
            <w:vAlign w:val="center"/>
          </w:tcPr>
          <w:p>
            <w:pPr>
              <w:adjustRightInd w:val="0"/>
              <w:snapToGrid w:val="0"/>
              <w:spacing w:line="400" w:lineRule="exact"/>
              <w:jc w:val="center"/>
              <w:rPr>
                <w:rFonts w:hint="eastAsia" w:ascii="宋体" w:hAnsi="宋体" w:eastAsia="宋体" w:cs="宋体"/>
                <w:bCs/>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2653" w:type="dxa"/>
            <w:noWrap w:val="0"/>
            <w:vAlign w:val="center"/>
          </w:tcPr>
          <w:p>
            <w:pPr>
              <w:adjustRightInd w:val="0"/>
              <w:snapToGrid w:val="0"/>
              <w:spacing w:line="400" w:lineRule="exact"/>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阴离子表面活性剂</w:t>
            </w:r>
          </w:p>
        </w:tc>
        <w:tc>
          <w:tcPr>
            <w:tcW w:w="1822" w:type="dxa"/>
            <w:noWrap w:val="0"/>
            <w:vAlign w:val="center"/>
          </w:tcPr>
          <w:p>
            <w:pPr>
              <w:tabs>
                <w:tab w:val="left" w:pos="535"/>
              </w:tabs>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0.5</w:t>
            </w:r>
            <w:r>
              <w:rPr>
                <w:rFonts w:hint="eastAsia" w:ascii="宋体" w:hAnsi="宋体" w:eastAsia="宋体" w:cs="宋体"/>
                <w:bCs/>
                <w:color w:val="auto"/>
                <w:sz w:val="24"/>
                <w:szCs w:val="24"/>
                <w:lang w:val="en-US" w:eastAsia="zh-CN"/>
              </w:rPr>
              <w:t>mg/L</w:t>
            </w:r>
          </w:p>
        </w:tc>
        <w:tc>
          <w:tcPr>
            <w:tcW w:w="4025" w:type="dxa"/>
            <w:vMerge w:val="continue"/>
            <w:noWrap w:val="0"/>
            <w:vAlign w:val="center"/>
          </w:tcPr>
          <w:p>
            <w:pPr>
              <w:adjustRightInd w:val="0"/>
              <w:snapToGrid w:val="0"/>
              <w:spacing w:line="400" w:lineRule="exact"/>
              <w:jc w:val="center"/>
              <w:rPr>
                <w:rFonts w:hint="eastAsia" w:ascii="宋体" w:hAnsi="宋体" w:eastAsia="宋体" w:cs="宋体"/>
                <w:bCs/>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653" w:type="dxa"/>
            <w:noWrap w:val="0"/>
            <w:vAlign w:val="center"/>
          </w:tcPr>
          <w:p>
            <w:pPr>
              <w:adjustRightInd w:val="0"/>
              <w:snapToGrid w:val="0"/>
              <w:spacing w:line="400" w:lineRule="exact"/>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六价铬</w:t>
            </w:r>
          </w:p>
        </w:tc>
        <w:tc>
          <w:tcPr>
            <w:tcW w:w="1822" w:type="dxa"/>
            <w:noWrap w:val="0"/>
            <w:vAlign w:val="center"/>
          </w:tcPr>
          <w:p>
            <w:pPr>
              <w:tabs>
                <w:tab w:val="left" w:pos="535"/>
              </w:tabs>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0.05</w:t>
            </w:r>
            <w:r>
              <w:rPr>
                <w:rFonts w:hint="eastAsia" w:ascii="宋体" w:hAnsi="宋体" w:eastAsia="宋体" w:cs="宋体"/>
                <w:bCs/>
                <w:color w:val="auto"/>
                <w:sz w:val="24"/>
                <w:szCs w:val="24"/>
                <w:lang w:val="en-US" w:eastAsia="zh-CN"/>
              </w:rPr>
              <w:t>mg/L</w:t>
            </w:r>
          </w:p>
        </w:tc>
        <w:tc>
          <w:tcPr>
            <w:tcW w:w="4025" w:type="dxa"/>
            <w:vMerge w:val="continue"/>
            <w:noWrap w:val="0"/>
            <w:vAlign w:val="center"/>
          </w:tcPr>
          <w:p>
            <w:pPr>
              <w:adjustRightInd w:val="0"/>
              <w:snapToGrid w:val="0"/>
              <w:spacing w:line="400" w:lineRule="exact"/>
              <w:jc w:val="center"/>
              <w:rPr>
                <w:rFonts w:hint="eastAsia" w:ascii="宋体" w:hAnsi="宋体" w:eastAsia="宋体" w:cs="宋体"/>
                <w:bCs/>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653" w:type="dxa"/>
            <w:noWrap w:val="0"/>
            <w:vAlign w:val="center"/>
          </w:tcPr>
          <w:p>
            <w:pPr>
              <w:adjustRightInd w:val="0"/>
              <w:snapToGrid w:val="0"/>
              <w:spacing w:line="400" w:lineRule="exact"/>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动植物油</w:t>
            </w:r>
          </w:p>
        </w:tc>
        <w:tc>
          <w:tcPr>
            <w:tcW w:w="1822" w:type="dxa"/>
            <w:noWrap w:val="0"/>
            <w:vAlign w:val="center"/>
          </w:tcPr>
          <w:p>
            <w:pPr>
              <w:tabs>
                <w:tab w:val="left" w:pos="535"/>
              </w:tabs>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w:t>
            </w:r>
            <w:r>
              <w:rPr>
                <w:rFonts w:hint="eastAsia" w:ascii="宋体" w:hAnsi="宋体" w:eastAsia="宋体" w:cs="宋体"/>
                <w:bCs/>
                <w:color w:val="auto"/>
                <w:sz w:val="24"/>
                <w:szCs w:val="24"/>
                <w:lang w:val="en-US" w:eastAsia="zh-CN"/>
              </w:rPr>
              <w:t>mg/L</w:t>
            </w:r>
          </w:p>
        </w:tc>
        <w:tc>
          <w:tcPr>
            <w:tcW w:w="4025" w:type="dxa"/>
            <w:vMerge w:val="continue"/>
            <w:noWrap w:val="0"/>
            <w:vAlign w:val="center"/>
          </w:tcPr>
          <w:p>
            <w:pPr>
              <w:adjustRightInd w:val="0"/>
              <w:snapToGrid w:val="0"/>
              <w:spacing w:line="400" w:lineRule="exact"/>
              <w:jc w:val="center"/>
              <w:rPr>
                <w:rFonts w:hint="eastAsia" w:ascii="宋体" w:hAnsi="宋体" w:eastAsia="宋体" w:cs="宋体"/>
                <w:bCs/>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653" w:type="dxa"/>
            <w:noWrap w:val="0"/>
            <w:vAlign w:val="center"/>
          </w:tcPr>
          <w:p>
            <w:pPr>
              <w:adjustRightInd w:val="0"/>
              <w:snapToGrid w:val="0"/>
              <w:spacing w:line="400" w:lineRule="exact"/>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石油类</w:t>
            </w:r>
          </w:p>
        </w:tc>
        <w:tc>
          <w:tcPr>
            <w:tcW w:w="1822" w:type="dxa"/>
            <w:noWrap w:val="0"/>
            <w:vAlign w:val="center"/>
          </w:tcPr>
          <w:p>
            <w:pPr>
              <w:tabs>
                <w:tab w:val="left" w:pos="535"/>
              </w:tabs>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w:t>
            </w:r>
            <w:r>
              <w:rPr>
                <w:rFonts w:hint="eastAsia" w:ascii="宋体" w:hAnsi="宋体" w:eastAsia="宋体" w:cs="宋体"/>
                <w:bCs/>
                <w:color w:val="auto"/>
                <w:sz w:val="24"/>
                <w:szCs w:val="24"/>
                <w:lang w:val="en-US" w:eastAsia="zh-CN"/>
              </w:rPr>
              <w:t>mg/L</w:t>
            </w:r>
          </w:p>
        </w:tc>
        <w:tc>
          <w:tcPr>
            <w:tcW w:w="4025" w:type="dxa"/>
            <w:vMerge w:val="continue"/>
            <w:noWrap w:val="0"/>
            <w:vAlign w:val="center"/>
          </w:tcPr>
          <w:p>
            <w:pPr>
              <w:adjustRightInd w:val="0"/>
              <w:snapToGrid w:val="0"/>
              <w:spacing w:line="400" w:lineRule="exact"/>
              <w:jc w:val="center"/>
              <w:rPr>
                <w:rFonts w:hint="eastAsia" w:ascii="宋体" w:hAnsi="宋体" w:eastAsia="宋体" w:cs="宋体"/>
                <w:bCs/>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653" w:type="dxa"/>
            <w:noWrap w:val="0"/>
            <w:vAlign w:val="center"/>
          </w:tcPr>
          <w:p>
            <w:pPr>
              <w:adjustRightInd w:val="0"/>
              <w:snapToGrid w:val="0"/>
              <w:spacing w:line="400" w:lineRule="exact"/>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粪大肠菌群</w:t>
            </w:r>
          </w:p>
        </w:tc>
        <w:tc>
          <w:tcPr>
            <w:tcW w:w="1822" w:type="dxa"/>
            <w:noWrap w:val="0"/>
            <w:vAlign w:val="center"/>
          </w:tcPr>
          <w:p>
            <w:pPr>
              <w:tabs>
                <w:tab w:val="left" w:pos="535"/>
              </w:tabs>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1000个/L</w:t>
            </w:r>
          </w:p>
        </w:tc>
        <w:tc>
          <w:tcPr>
            <w:tcW w:w="4025" w:type="dxa"/>
            <w:vMerge w:val="continue"/>
            <w:noWrap w:val="0"/>
            <w:vAlign w:val="center"/>
          </w:tcPr>
          <w:p>
            <w:pPr>
              <w:adjustRightInd w:val="0"/>
              <w:snapToGrid w:val="0"/>
              <w:spacing w:line="400" w:lineRule="exact"/>
              <w:jc w:val="center"/>
              <w:rPr>
                <w:rFonts w:hint="eastAsia" w:ascii="宋体" w:hAnsi="宋体" w:eastAsia="宋体" w:cs="宋体"/>
                <w:bCs/>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653" w:type="dxa"/>
            <w:noWrap w:val="0"/>
            <w:vAlign w:val="center"/>
          </w:tcPr>
          <w:p>
            <w:pPr>
              <w:adjustRightInd w:val="0"/>
              <w:snapToGrid w:val="0"/>
              <w:spacing w:line="400" w:lineRule="exact"/>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总铬</w:t>
            </w:r>
          </w:p>
        </w:tc>
        <w:tc>
          <w:tcPr>
            <w:tcW w:w="1822" w:type="dxa"/>
            <w:noWrap w:val="0"/>
            <w:vAlign w:val="center"/>
          </w:tcPr>
          <w:p>
            <w:pPr>
              <w:tabs>
                <w:tab w:val="left" w:pos="535"/>
              </w:tabs>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0.1</w:t>
            </w:r>
            <w:r>
              <w:rPr>
                <w:rFonts w:hint="eastAsia" w:ascii="宋体" w:hAnsi="宋体" w:eastAsia="宋体" w:cs="宋体"/>
                <w:bCs/>
                <w:color w:val="auto"/>
                <w:sz w:val="24"/>
                <w:szCs w:val="24"/>
                <w:lang w:val="en-US" w:eastAsia="zh-CN"/>
              </w:rPr>
              <w:t>mg/L</w:t>
            </w:r>
          </w:p>
        </w:tc>
        <w:tc>
          <w:tcPr>
            <w:tcW w:w="4025" w:type="dxa"/>
            <w:vMerge w:val="continue"/>
            <w:noWrap w:val="0"/>
            <w:vAlign w:val="center"/>
          </w:tcPr>
          <w:p>
            <w:pPr>
              <w:adjustRightInd w:val="0"/>
              <w:snapToGrid w:val="0"/>
              <w:spacing w:line="400" w:lineRule="exact"/>
              <w:jc w:val="center"/>
              <w:rPr>
                <w:rFonts w:hint="eastAsia" w:ascii="宋体" w:hAnsi="宋体" w:eastAsia="宋体" w:cs="宋体"/>
                <w:bCs/>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653" w:type="dxa"/>
            <w:noWrap w:val="0"/>
            <w:vAlign w:val="center"/>
          </w:tcPr>
          <w:p>
            <w:pPr>
              <w:adjustRightInd w:val="0"/>
              <w:snapToGrid w:val="0"/>
              <w:spacing w:line="400" w:lineRule="exact"/>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总汞</w:t>
            </w:r>
          </w:p>
        </w:tc>
        <w:tc>
          <w:tcPr>
            <w:tcW w:w="1822" w:type="dxa"/>
            <w:noWrap w:val="0"/>
            <w:vAlign w:val="center"/>
          </w:tcPr>
          <w:p>
            <w:pPr>
              <w:tabs>
                <w:tab w:val="left" w:pos="535"/>
              </w:tabs>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0.001</w:t>
            </w:r>
            <w:r>
              <w:rPr>
                <w:rFonts w:hint="eastAsia" w:ascii="宋体" w:hAnsi="宋体" w:eastAsia="宋体" w:cs="宋体"/>
                <w:bCs/>
                <w:color w:val="auto"/>
                <w:sz w:val="24"/>
                <w:szCs w:val="24"/>
                <w:lang w:val="en-US" w:eastAsia="zh-CN"/>
              </w:rPr>
              <w:t>mg/L</w:t>
            </w:r>
          </w:p>
        </w:tc>
        <w:tc>
          <w:tcPr>
            <w:tcW w:w="4025" w:type="dxa"/>
            <w:vMerge w:val="continue"/>
            <w:noWrap w:val="0"/>
            <w:vAlign w:val="center"/>
          </w:tcPr>
          <w:p>
            <w:pPr>
              <w:adjustRightInd w:val="0"/>
              <w:snapToGrid w:val="0"/>
              <w:spacing w:line="400" w:lineRule="exact"/>
              <w:jc w:val="center"/>
              <w:rPr>
                <w:rFonts w:hint="eastAsia" w:ascii="宋体" w:hAnsi="宋体" w:eastAsia="宋体" w:cs="宋体"/>
                <w:bCs/>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653" w:type="dxa"/>
            <w:noWrap w:val="0"/>
            <w:vAlign w:val="center"/>
          </w:tcPr>
          <w:p>
            <w:pPr>
              <w:adjustRightInd w:val="0"/>
              <w:snapToGrid w:val="0"/>
              <w:spacing w:line="400" w:lineRule="exact"/>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总镉</w:t>
            </w:r>
          </w:p>
        </w:tc>
        <w:tc>
          <w:tcPr>
            <w:tcW w:w="1822" w:type="dxa"/>
            <w:noWrap w:val="0"/>
            <w:vAlign w:val="center"/>
          </w:tcPr>
          <w:p>
            <w:pPr>
              <w:tabs>
                <w:tab w:val="left" w:pos="535"/>
              </w:tabs>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0.01</w:t>
            </w:r>
            <w:r>
              <w:rPr>
                <w:rFonts w:hint="eastAsia" w:ascii="宋体" w:hAnsi="宋体" w:eastAsia="宋体" w:cs="宋体"/>
                <w:bCs/>
                <w:color w:val="auto"/>
                <w:sz w:val="24"/>
                <w:szCs w:val="24"/>
                <w:lang w:val="en-US" w:eastAsia="zh-CN"/>
              </w:rPr>
              <w:t>mg/L</w:t>
            </w:r>
          </w:p>
        </w:tc>
        <w:tc>
          <w:tcPr>
            <w:tcW w:w="4025" w:type="dxa"/>
            <w:vMerge w:val="continue"/>
            <w:noWrap w:val="0"/>
            <w:vAlign w:val="center"/>
          </w:tcPr>
          <w:p>
            <w:pPr>
              <w:adjustRightInd w:val="0"/>
              <w:snapToGrid w:val="0"/>
              <w:spacing w:line="400" w:lineRule="exact"/>
              <w:jc w:val="center"/>
              <w:rPr>
                <w:rFonts w:hint="eastAsia" w:ascii="宋体" w:hAnsi="宋体" w:eastAsia="宋体" w:cs="宋体"/>
                <w:bCs/>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653" w:type="dxa"/>
            <w:noWrap w:val="0"/>
            <w:vAlign w:val="center"/>
          </w:tcPr>
          <w:p>
            <w:pPr>
              <w:adjustRightInd w:val="0"/>
              <w:snapToGrid w:val="0"/>
              <w:spacing w:line="400" w:lineRule="exact"/>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总铅</w:t>
            </w:r>
          </w:p>
        </w:tc>
        <w:tc>
          <w:tcPr>
            <w:tcW w:w="1822" w:type="dxa"/>
            <w:noWrap w:val="0"/>
            <w:vAlign w:val="center"/>
          </w:tcPr>
          <w:p>
            <w:pPr>
              <w:tabs>
                <w:tab w:val="left" w:pos="535"/>
              </w:tabs>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0.1</w:t>
            </w:r>
            <w:r>
              <w:rPr>
                <w:rFonts w:hint="eastAsia" w:ascii="宋体" w:hAnsi="宋体" w:eastAsia="宋体" w:cs="宋体"/>
                <w:bCs/>
                <w:color w:val="auto"/>
                <w:sz w:val="24"/>
                <w:szCs w:val="24"/>
                <w:lang w:val="en-US" w:eastAsia="zh-CN"/>
              </w:rPr>
              <w:t>mg/L</w:t>
            </w:r>
          </w:p>
        </w:tc>
        <w:tc>
          <w:tcPr>
            <w:tcW w:w="4025" w:type="dxa"/>
            <w:vMerge w:val="continue"/>
            <w:noWrap w:val="0"/>
            <w:vAlign w:val="center"/>
          </w:tcPr>
          <w:p>
            <w:pPr>
              <w:adjustRightInd w:val="0"/>
              <w:snapToGrid w:val="0"/>
              <w:spacing w:line="400" w:lineRule="exact"/>
              <w:jc w:val="center"/>
              <w:rPr>
                <w:rFonts w:hint="eastAsia" w:ascii="宋体" w:hAnsi="宋体" w:eastAsia="宋体" w:cs="宋体"/>
                <w:bCs/>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653" w:type="dxa"/>
            <w:noWrap w:val="0"/>
            <w:vAlign w:val="center"/>
          </w:tcPr>
          <w:p>
            <w:pPr>
              <w:adjustRightInd w:val="0"/>
              <w:snapToGrid w:val="0"/>
              <w:spacing w:line="400" w:lineRule="exact"/>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总砷</w:t>
            </w:r>
          </w:p>
        </w:tc>
        <w:tc>
          <w:tcPr>
            <w:tcW w:w="1822" w:type="dxa"/>
            <w:noWrap w:val="0"/>
            <w:vAlign w:val="center"/>
          </w:tcPr>
          <w:p>
            <w:pPr>
              <w:tabs>
                <w:tab w:val="left" w:pos="535"/>
              </w:tabs>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0.1</w:t>
            </w:r>
            <w:r>
              <w:rPr>
                <w:rFonts w:hint="eastAsia" w:ascii="宋体" w:hAnsi="宋体" w:eastAsia="宋体" w:cs="宋体"/>
                <w:bCs/>
                <w:color w:val="auto"/>
                <w:sz w:val="24"/>
                <w:szCs w:val="24"/>
                <w:lang w:val="en-US" w:eastAsia="zh-CN"/>
              </w:rPr>
              <w:t>mg/L</w:t>
            </w:r>
          </w:p>
        </w:tc>
        <w:tc>
          <w:tcPr>
            <w:tcW w:w="4025" w:type="dxa"/>
            <w:vMerge w:val="continue"/>
            <w:noWrap w:val="0"/>
            <w:vAlign w:val="center"/>
          </w:tcPr>
          <w:p>
            <w:pPr>
              <w:adjustRightInd w:val="0"/>
              <w:snapToGrid w:val="0"/>
              <w:spacing w:line="400" w:lineRule="exact"/>
              <w:jc w:val="center"/>
              <w:rPr>
                <w:rFonts w:hint="eastAsia" w:ascii="宋体" w:hAnsi="宋体" w:eastAsia="宋体" w:cs="宋体"/>
                <w:bCs/>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653" w:type="dxa"/>
            <w:noWrap w:val="0"/>
            <w:vAlign w:val="center"/>
          </w:tcPr>
          <w:p>
            <w:pPr>
              <w:adjustRightInd w:val="0"/>
              <w:snapToGrid w:val="0"/>
              <w:spacing w:line="400" w:lineRule="exact"/>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烷基汞</w:t>
            </w:r>
          </w:p>
        </w:tc>
        <w:tc>
          <w:tcPr>
            <w:tcW w:w="1822" w:type="dxa"/>
            <w:noWrap w:val="0"/>
            <w:vAlign w:val="center"/>
          </w:tcPr>
          <w:p>
            <w:pPr>
              <w:tabs>
                <w:tab w:val="left" w:pos="535"/>
              </w:tabs>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w:t>
            </w:r>
          </w:p>
        </w:tc>
        <w:tc>
          <w:tcPr>
            <w:tcW w:w="4025" w:type="dxa"/>
            <w:vMerge w:val="continue"/>
            <w:noWrap w:val="0"/>
            <w:vAlign w:val="center"/>
          </w:tcPr>
          <w:p>
            <w:pPr>
              <w:adjustRightInd w:val="0"/>
              <w:snapToGrid w:val="0"/>
              <w:spacing w:line="400" w:lineRule="exact"/>
              <w:jc w:val="center"/>
              <w:rPr>
                <w:rFonts w:hint="eastAsia" w:ascii="宋体" w:hAnsi="宋体" w:eastAsia="宋体" w:cs="宋体"/>
                <w:bCs/>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653" w:type="dxa"/>
            <w:noWrap w:val="0"/>
            <w:vAlign w:val="center"/>
          </w:tcPr>
          <w:p>
            <w:pPr>
              <w:adjustRightInd w:val="0"/>
              <w:snapToGrid w:val="0"/>
              <w:spacing w:line="400" w:lineRule="exact"/>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含水率</w:t>
            </w:r>
          </w:p>
        </w:tc>
        <w:tc>
          <w:tcPr>
            <w:tcW w:w="1822" w:type="dxa"/>
            <w:noWrap w:val="0"/>
            <w:vAlign w:val="center"/>
          </w:tcPr>
          <w:p>
            <w:pPr>
              <w:tabs>
                <w:tab w:val="left" w:pos="535"/>
              </w:tabs>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w:t>
            </w:r>
          </w:p>
        </w:tc>
        <w:tc>
          <w:tcPr>
            <w:tcW w:w="4025" w:type="dxa"/>
            <w:noWrap w:val="0"/>
            <w:vAlign w:val="center"/>
          </w:tcPr>
          <w:p>
            <w:pPr>
              <w:adjustRightInd w:val="0"/>
              <w:snapToGrid w:val="0"/>
              <w:spacing w:line="400" w:lineRule="exact"/>
              <w:jc w:val="center"/>
              <w:rPr>
                <w:rFonts w:hint="eastAsia" w:ascii="宋体" w:hAnsi="宋体" w:eastAsia="宋体" w:cs="宋体"/>
                <w:bCs/>
                <w:color w:val="000000"/>
                <w:sz w:val="24"/>
                <w:szCs w:val="24"/>
                <w:lang w:val="en-US" w:eastAsia="zh-CN"/>
              </w:rPr>
            </w:pPr>
          </w:p>
        </w:tc>
      </w:tr>
    </w:tbl>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3" w:firstLineChars="200"/>
        <w:jc w:val="both"/>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五、监测内容</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3" w:firstLineChars="200"/>
        <w:jc w:val="both"/>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1、监测点位</w:t>
      </w:r>
    </w:p>
    <w:tbl>
      <w:tblPr>
        <w:tblStyle w:val="7"/>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6"/>
        <w:gridCol w:w="3540"/>
        <w:gridCol w:w="2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2686" w:type="dxa"/>
            <w:noWrap w:val="0"/>
            <w:vAlign w:val="center"/>
          </w:tcPr>
          <w:p>
            <w:pPr>
              <w:spacing w:line="320" w:lineRule="exact"/>
              <w:jc w:val="center"/>
              <w:rPr>
                <w:rFonts w:hint="eastAsia" w:ascii="宋体" w:hAnsi="宋体" w:eastAsia="宋体" w:cs="宋体"/>
                <w:b/>
                <w:bCs w:val="0"/>
                <w:sz w:val="24"/>
                <w:szCs w:val="24"/>
                <w:vertAlign w:val="baseline"/>
              </w:rPr>
            </w:pPr>
            <w:r>
              <w:rPr>
                <w:rFonts w:hint="eastAsia" w:ascii="宋体" w:hAnsi="宋体" w:eastAsia="宋体" w:cs="宋体"/>
                <w:b/>
                <w:bCs w:val="0"/>
                <w:color w:val="000000"/>
                <w:sz w:val="24"/>
                <w:szCs w:val="24"/>
                <w:lang w:eastAsia="zh-CN"/>
              </w:rPr>
              <w:t>检测点位</w:t>
            </w:r>
          </w:p>
        </w:tc>
        <w:tc>
          <w:tcPr>
            <w:tcW w:w="3540" w:type="dxa"/>
            <w:noWrap w:val="0"/>
            <w:vAlign w:val="center"/>
          </w:tcPr>
          <w:p>
            <w:pPr>
              <w:spacing w:line="320" w:lineRule="exact"/>
              <w:jc w:val="center"/>
              <w:rPr>
                <w:rFonts w:hint="eastAsia" w:ascii="宋体" w:hAnsi="宋体" w:eastAsia="宋体" w:cs="宋体"/>
                <w:b/>
                <w:bCs w:val="0"/>
                <w:sz w:val="24"/>
                <w:szCs w:val="24"/>
                <w:vertAlign w:val="baseline"/>
              </w:rPr>
            </w:pPr>
            <w:r>
              <w:rPr>
                <w:rFonts w:hint="eastAsia" w:ascii="宋体" w:hAnsi="宋体" w:eastAsia="宋体" w:cs="宋体"/>
                <w:b/>
                <w:bCs w:val="0"/>
                <w:color w:val="000000"/>
                <w:sz w:val="24"/>
                <w:szCs w:val="24"/>
                <w:lang w:eastAsia="zh-CN"/>
              </w:rPr>
              <w:t>检测因子</w:t>
            </w:r>
          </w:p>
        </w:tc>
        <w:tc>
          <w:tcPr>
            <w:tcW w:w="2294" w:type="dxa"/>
            <w:noWrap w:val="0"/>
            <w:vAlign w:val="center"/>
          </w:tcPr>
          <w:p>
            <w:pPr>
              <w:spacing w:line="320" w:lineRule="exact"/>
              <w:jc w:val="center"/>
              <w:rPr>
                <w:rFonts w:hint="eastAsia" w:ascii="宋体" w:hAnsi="宋体" w:eastAsia="宋体" w:cs="宋体"/>
                <w:b/>
                <w:bCs w:val="0"/>
                <w:sz w:val="24"/>
                <w:szCs w:val="24"/>
                <w:vertAlign w:val="baseline"/>
              </w:rPr>
            </w:pPr>
            <w:r>
              <w:rPr>
                <w:rFonts w:hint="eastAsia" w:ascii="宋体" w:hAnsi="宋体" w:eastAsia="宋体" w:cs="宋体"/>
                <w:b/>
                <w:bCs w:val="0"/>
                <w:color w:val="000000"/>
                <w:sz w:val="24"/>
                <w:szCs w:val="24"/>
                <w:lang w:eastAsia="zh-CN"/>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2686" w:type="dxa"/>
            <w:vMerge w:val="restart"/>
            <w:noWrap w:val="0"/>
            <w:vAlign w:val="center"/>
          </w:tcPr>
          <w:p>
            <w:pPr>
              <w:adjustRightInd w:val="0"/>
              <w:snapToGrid w:val="0"/>
              <w:spacing w:line="400" w:lineRule="exact"/>
              <w:jc w:val="center"/>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厂界外上风向一个点位，下风向三个点位</w:t>
            </w:r>
          </w:p>
        </w:tc>
        <w:tc>
          <w:tcPr>
            <w:tcW w:w="3540" w:type="dxa"/>
            <w:noWrap w:val="0"/>
            <w:vAlign w:val="center"/>
          </w:tcPr>
          <w:p>
            <w:pPr>
              <w:adjustRightInd w:val="0"/>
              <w:snapToGrid w:val="0"/>
              <w:spacing w:line="400" w:lineRule="exact"/>
              <w:jc w:val="center"/>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氨气、硫化氢、臭气浓度</w:t>
            </w:r>
          </w:p>
        </w:tc>
        <w:tc>
          <w:tcPr>
            <w:tcW w:w="2294" w:type="dxa"/>
            <w:noWrap w:val="0"/>
            <w:vAlign w:val="center"/>
          </w:tcPr>
          <w:p>
            <w:pPr>
              <w:adjustRightInd w:val="0"/>
              <w:snapToGrid w:val="0"/>
              <w:spacing w:line="400" w:lineRule="exact"/>
              <w:jc w:val="center"/>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1次/半年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2686" w:type="dxa"/>
            <w:vMerge w:val="continue"/>
            <w:noWrap w:val="0"/>
            <w:vAlign w:val="center"/>
          </w:tcPr>
          <w:p>
            <w:pPr>
              <w:adjustRightInd w:val="0"/>
              <w:snapToGrid w:val="0"/>
              <w:spacing w:line="400" w:lineRule="exact"/>
              <w:jc w:val="center"/>
              <w:rPr>
                <w:rFonts w:hint="eastAsia" w:ascii="宋体" w:hAnsi="宋体" w:eastAsia="宋体" w:cs="宋体"/>
                <w:bCs/>
                <w:color w:val="000000"/>
                <w:sz w:val="24"/>
                <w:szCs w:val="24"/>
                <w:lang w:val="en-US" w:eastAsia="zh-CN"/>
              </w:rPr>
            </w:pPr>
          </w:p>
        </w:tc>
        <w:tc>
          <w:tcPr>
            <w:tcW w:w="3540" w:type="dxa"/>
            <w:noWrap w:val="0"/>
            <w:vAlign w:val="center"/>
          </w:tcPr>
          <w:p>
            <w:pPr>
              <w:adjustRightInd w:val="0"/>
              <w:snapToGrid w:val="0"/>
              <w:spacing w:line="400" w:lineRule="exact"/>
              <w:jc w:val="center"/>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甲烷</w:t>
            </w:r>
          </w:p>
        </w:tc>
        <w:tc>
          <w:tcPr>
            <w:tcW w:w="2294" w:type="dxa"/>
            <w:noWrap w:val="0"/>
            <w:vAlign w:val="center"/>
          </w:tcPr>
          <w:p>
            <w:pPr>
              <w:adjustRightInd w:val="0"/>
              <w:snapToGrid w:val="0"/>
              <w:spacing w:line="400" w:lineRule="exact"/>
              <w:jc w:val="center"/>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686" w:type="dxa"/>
            <w:vMerge w:val="restart"/>
            <w:noWrap w:val="0"/>
            <w:vAlign w:val="center"/>
          </w:tcPr>
          <w:p>
            <w:pPr>
              <w:adjustRightInd w:val="0"/>
              <w:snapToGrid w:val="0"/>
              <w:spacing w:line="400" w:lineRule="exact"/>
              <w:jc w:val="center"/>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厂区总排口</w:t>
            </w:r>
          </w:p>
        </w:tc>
        <w:tc>
          <w:tcPr>
            <w:tcW w:w="3540" w:type="dxa"/>
            <w:noWrap w:val="0"/>
            <w:vAlign w:val="center"/>
          </w:tcPr>
          <w:p>
            <w:pPr>
              <w:adjustRightInd w:val="0"/>
              <w:snapToGrid w:val="0"/>
              <w:spacing w:line="400" w:lineRule="exact"/>
              <w:jc w:val="center"/>
              <w:rPr>
                <w:rFonts w:hint="default"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PH</w:t>
            </w:r>
          </w:p>
        </w:tc>
        <w:tc>
          <w:tcPr>
            <w:tcW w:w="2294" w:type="dxa"/>
            <w:noWrap w:val="0"/>
            <w:vAlign w:val="center"/>
          </w:tcPr>
          <w:p>
            <w:pPr>
              <w:adjustRightInd w:val="0"/>
              <w:snapToGrid w:val="0"/>
              <w:spacing w:line="400" w:lineRule="exact"/>
              <w:jc w:val="center"/>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1次/日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686" w:type="dxa"/>
            <w:vMerge w:val="continue"/>
            <w:noWrap w:val="0"/>
            <w:vAlign w:val="center"/>
          </w:tcPr>
          <w:p>
            <w:pPr>
              <w:adjustRightInd w:val="0"/>
              <w:snapToGrid w:val="0"/>
              <w:spacing w:line="400" w:lineRule="exact"/>
              <w:jc w:val="center"/>
              <w:rPr>
                <w:rFonts w:hint="eastAsia" w:ascii="宋体" w:hAnsi="宋体" w:eastAsia="宋体" w:cs="宋体"/>
                <w:bCs/>
                <w:color w:val="000000"/>
                <w:sz w:val="24"/>
                <w:szCs w:val="24"/>
                <w:lang w:val="en-US" w:eastAsia="zh-CN"/>
              </w:rPr>
            </w:pPr>
          </w:p>
        </w:tc>
        <w:tc>
          <w:tcPr>
            <w:tcW w:w="3540" w:type="dxa"/>
            <w:noWrap w:val="0"/>
            <w:vAlign w:val="center"/>
          </w:tcPr>
          <w:p>
            <w:pPr>
              <w:adjustRightInd w:val="0"/>
              <w:snapToGrid w:val="0"/>
              <w:spacing w:line="400" w:lineRule="exact"/>
              <w:jc w:val="both"/>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石油类、五日生化需氧量、悬浮物、动植物油、粪大肠菌群、色度、阴离子表面活性剂</w:t>
            </w:r>
          </w:p>
        </w:tc>
        <w:tc>
          <w:tcPr>
            <w:tcW w:w="2294" w:type="dxa"/>
            <w:noWrap w:val="0"/>
            <w:vAlign w:val="center"/>
          </w:tcPr>
          <w:p>
            <w:pPr>
              <w:adjustRightInd w:val="0"/>
              <w:snapToGrid w:val="0"/>
              <w:spacing w:line="400" w:lineRule="exact"/>
              <w:jc w:val="center"/>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1次/月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2686" w:type="dxa"/>
            <w:vMerge w:val="continue"/>
            <w:noWrap w:val="0"/>
            <w:vAlign w:val="center"/>
          </w:tcPr>
          <w:p>
            <w:pPr>
              <w:adjustRightInd w:val="0"/>
              <w:snapToGrid w:val="0"/>
              <w:spacing w:line="400" w:lineRule="exact"/>
              <w:jc w:val="center"/>
              <w:rPr>
                <w:rFonts w:hint="eastAsia" w:ascii="宋体" w:hAnsi="宋体" w:eastAsia="宋体" w:cs="宋体"/>
                <w:bCs/>
                <w:color w:val="000000"/>
                <w:sz w:val="24"/>
                <w:szCs w:val="24"/>
                <w:lang w:val="en-US" w:eastAsia="zh-CN"/>
              </w:rPr>
            </w:pPr>
          </w:p>
        </w:tc>
        <w:tc>
          <w:tcPr>
            <w:tcW w:w="3540" w:type="dxa"/>
            <w:noWrap w:val="0"/>
            <w:vAlign w:val="center"/>
          </w:tcPr>
          <w:p>
            <w:pPr>
              <w:adjustRightInd w:val="0"/>
              <w:snapToGrid w:val="0"/>
              <w:spacing w:line="400" w:lineRule="exact"/>
              <w:jc w:val="center"/>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总磷、氨氮、流量、化学需氧量、总氮、总铬、总镉、总砷、总汞、总铅、六价铬</w:t>
            </w:r>
          </w:p>
        </w:tc>
        <w:tc>
          <w:tcPr>
            <w:tcW w:w="2294" w:type="dxa"/>
            <w:noWrap w:val="0"/>
            <w:vAlign w:val="center"/>
          </w:tcPr>
          <w:p>
            <w:pPr>
              <w:adjustRightInd w:val="0"/>
              <w:snapToGrid w:val="0"/>
              <w:spacing w:line="400" w:lineRule="exact"/>
              <w:jc w:val="center"/>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1次/季度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686" w:type="dxa"/>
            <w:vMerge w:val="continue"/>
            <w:noWrap w:val="0"/>
            <w:vAlign w:val="center"/>
          </w:tcPr>
          <w:p>
            <w:pPr>
              <w:adjustRightInd w:val="0"/>
              <w:snapToGrid w:val="0"/>
              <w:spacing w:line="400" w:lineRule="exact"/>
              <w:jc w:val="center"/>
              <w:rPr>
                <w:rFonts w:hint="eastAsia" w:ascii="宋体" w:hAnsi="宋体" w:eastAsia="宋体" w:cs="宋体"/>
                <w:bCs/>
                <w:color w:val="000000"/>
                <w:sz w:val="24"/>
                <w:szCs w:val="24"/>
                <w:lang w:val="en-US" w:eastAsia="zh-CN"/>
              </w:rPr>
            </w:pPr>
          </w:p>
        </w:tc>
        <w:tc>
          <w:tcPr>
            <w:tcW w:w="3540" w:type="dxa"/>
            <w:noWrap w:val="0"/>
            <w:vAlign w:val="center"/>
          </w:tcPr>
          <w:p>
            <w:pPr>
              <w:adjustRightInd w:val="0"/>
              <w:snapToGrid w:val="0"/>
              <w:spacing w:line="400" w:lineRule="exact"/>
              <w:jc w:val="center"/>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烷基汞</w:t>
            </w:r>
          </w:p>
        </w:tc>
        <w:tc>
          <w:tcPr>
            <w:tcW w:w="2294" w:type="dxa"/>
            <w:noWrap w:val="0"/>
            <w:vAlign w:val="center"/>
          </w:tcPr>
          <w:p>
            <w:pPr>
              <w:adjustRightInd w:val="0"/>
              <w:snapToGrid w:val="0"/>
              <w:spacing w:line="400" w:lineRule="exact"/>
              <w:jc w:val="center"/>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1次/半年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2686" w:type="dxa"/>
            <w:noWrap w:val="0"/>
            <w:vAlign w:val="center"/>
          </w:tcPr>
          <w:p>
            <w:pPr>
              <w:adjustRightInd w:val="0"/>
              <w:snapToGrid w:val="0"/>
              <w:spacing w:line="400" w:lineRule="exact"/>
              <w:jc w:val="center"/>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污泥</w:t>
            </w:r>
          </w:p>
        </w:tc>
        <w:tc>
          <w:tcPr>
            <w:tcW w:w="3540" w:type="dxa"/>
            <w:noWrap w:val="0"/>
            <w:vAlign w:val="center"/>
          </w:tcPr>
          <w:p>
            <w:pPr>
              <w:adjustRightInd w:val="0"/>
              <w:snapToGrid w:val="0"/>
              <w:spacing w:line="400" w:lineRule="exact"/>
              <w:jc w:val="center"/>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含水率</w:t>
            </w:r>
          </w:p>
        </w:tc>
        <w:tc>
          <w:tcPr>
            <w:tcW w:w="2294" w:type="dxa"/>
            <w:noWrap w:val="0"/>
            <w:vAlign w:val="center"/>
          </w:tcPr>
          <w:p>
            <w:pPr>
              <w:adjustRightInd w:val="0"/>
              <w:snapToGrid w:val="0"/>
              <w:spacing w:line="400" w:lineRule="exact"/>
              <w:jc w:val="center"/>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1次/日</w:t>
            </w:r>
          </w:p>
        </w:tc>
      </w:tr>
    </w:tbl>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3"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2、分析测试方法及仪器</w:t>
      </w:r>
    </w:p>
    <w:tbl>
      <w:tblPr>
        <w:tblStyle w:val="6"/>
        <w:tblW w:w="93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8"/>
        <w:gridCol w:w="2868"/>
        <w:gridCol w:w="3080"/>
        <w:gridCol w:w="1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监测项目</w:t>
            </w:r>
          </w:p>
        </w:tc>
        <w:tc>
          <w:tcPr>
            <w:tcW w:w="28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检测标准</w:t>
            </w:r>
          </w:p>
        </w:tc>
        <w:tc>
          <w:tcPr>
            <w:tcW w:w="3080"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使用仪器</w:t>
            </w:r>
          </w:p>
        </w:tc>
        <w:tc>
          <w:tcPr>
            <w:tcW w:w="190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检出限值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COD</w:t>
            </w:r>
          </w:p>
        </w:tc>
        <w:tc>
          <w:tcPr>
            <w:tcW w:w="28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重铬酸盐法</w:t>
            </w:r>
          </w:p>
        </w:tc>
        <w:tc>
          <w:tcPr>
            <w:tcW w:w="3080"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COD自动监测系统</w:t>
            </w:r>
          </w:p>
        </w:tc>
        <w:tc>
          <w:tcPr>
            <w:tcW w:w="190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b w:val="0"/>
                <w:bCs w:val="0"/>
                <w:sz w:val="24"/>
                <w:szCs w:val="24"/>
                <w:lang w:val="en-US" w:eastAsia="zh-CN"/>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氨氮</w:t>
            </w:r>
          </w:p>
        </w:tc>
        <w:tc>
          <w:tcPr>
            <w:tcW w:w="28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纳氏试剂光度法</w:t>
            </w:r>
          </w:p>
        </w:tc>
        <w:tc>
          <w:tcPr>
            <w:tcW w:w="3080"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氨氮自动监测系统</w:t>
            </w:r>
          </w:p>
        </w:tc>
        <w:tc>
          <w:tcPr>
            <w:tcW w:w="190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b w:val="0"/>
                <w:bCs w:val="0"/>
                <w:sz w:val="24"/>
                <w:szCs w:val="24"/>
                <w:lang w:val="en-US" w:eastAsia="zh-CN"/>
              </w:rPr>
              <w:t>0.025mg/L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总磷</w:t>
            </w:r>
          </w:p>
        </w:tc>
        <w:tc>
          <w:tcPr>
            <w:tcW w:w="28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钼锑抗分光光度法</w:t>
            </w:r>
          </w:p>
        </w:tc>
        <w:tc>
          <w:tcPr>
            <w:tcW w:w="3080"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总磷自动监测系统</w:t>
            </w:r>
          </w:p>
        </w:tc>
        <w:tc>
          <w:tcPr>
            <w:tcW w:w="190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总氮</w:t>
            </w:r>
          </w:p>
        </w:tc>
        <w:tc>
          <w:tcPr>
            <w:tcW w:w="28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紫外分光光度法</w:t>
            </w:r>
          </w:p>
        </w:tc>
        <w:tc>
          <w:tcPr>
            <w:tcW w:w="3080"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总氮自动监测系统</w:t>
            </w:r>
          </w:p>
        </w:tc>
        <w:tc>
          <w:tcPr>
            <w:tcW w:w="190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PH</w:t>
            </w:r>
          </w:p>
        </w:tc>
        <w:tc>
          <w:tcPr>
            <w:tcW w:w="2868" w:type="dxa"/>
            <w:noWrap w:val="0"/>
            <w:vAlign w:val="top"/>
          </w:tcPr>
          <w:p>
            <w:pPr>
              <w:tabs>
                <w:tab w:val="left" w:pos="2385"/>
                <w:tab w:val="center" w:pos="4819"/>
              </w:tabs>
              <w:adjustRightInd w:val="0"/>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《水质 pH值的测定 电极法》</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color w:val="000000"/>
                <w:sz w:val="24"/>
                <w:szCs w:val="24"/>
                <w:lang w:val="en-US" w:eastAsia="zh-CN"/>
              </w:rPr>
              <w:t>HJ</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val="en-US" w:eastAsia="zh-CN"/>
              </w:rPr>
              <w:t>1147</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2020</w:t>
            </w:r>
          </w:p>
        </w:tc>
        <w:tc>
          <w:tcPr>
            <w:tcW w:w="3080" w:type="dxa"/>
            <w:noWrap w:val="0"/>
            <w:vAlign w:val="top"/>
          </w:tcPr>
          <w:p>
            <w:pPr>
              <w:snapToGrid w:val="0"/>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精密 pH计PHS-3C</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color w:val="000000"/>
                <w:sz w:val="24"/>
                <w:szCs w:val="24"/>
              </w:rPr>
              <w:t>SYFX-009</w:t>
            </w:r>
          </w:p>
        </w:tc>
        <w:tc>
          <w:tcPr>
            <w:tcW w:w="190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b w:val="0"/>
                <w:bCs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动植物油</w:t>
            </w:r>
          </w:p>
        </w:tc>
        <w:tc>
          <w:tcPr>
            <w:tcW w:w="2868" w:type="dxa"/>
            <w:noWrap w:val="0"/>
            <w:vAlign w:val="top"/>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《水质 石油类和动植物油类的测定红外分光光度法》</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rPr>
              <w:t>HJ 637-2018</w:t>
            </w:r>
          </w:p>
        </w:tc>
        <w:tc>
          <w:tcPr>
            <w:tcW w:w="3080" w:type="dxa"/>
            <w:noWrap w:val="0"/>
            <w:vAlign w:val="top"/>
          </w:tcPr>
          <w:p>
            <w:pPr>
              <w:pStyle w:val="10"/>
              <w:keepNext w:val="0"/>
              <w:keepLines w:val="0"/>
              <w:pageBreakBefore w:val="0"/>
              <w:kinsoku/>
              <w:wordWrap/>
              <w:overflowPunct/>
              <w:topLinePunct w:val="0"/>
              <w:autoSpaceDE/>
              <w:autoSpaceDN/>
              <w:bidi w:val="0"/>
              <w:snapToGrid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红外分光测油仪OIL-480</w:t>
            </w:r>
          </w:p>
          <w:p>
            <w:pPr>
              <w:pStyle w:val="4"/>
              <w:rPr>
                <w:rFonts w:hint="eastAsia" w:ascii="宋体" w:hAnsi="宋体" w:eastAsia="宋体" w:cs="宋体"/>
                <w:sz w:val="24"/>
                <w:szCs w:val="24"/>
                <w:vertAlign w:val="baseline"/>
                <w:lang w:val="en-US" w:eastAsia="zh-CN"/>
              </w:rPr>
            </w:pPr>
            <w:r>
              <w:rPr>
                <w:rFonts w:hint="eastAsia" w:ascii="宋体" w:hAnsi="宋体" w:eastAsia="宋体" w:cs="宋体"/>
                <w:kern w:val="2"/>
                <w:sz w:val="24"/>
                <w:szCs w:val="24"/>
              </w:rPr>
              <w:t>SYFX-006</w:t>
            </w:r>
          </w:p>
        </w:tc>
        <w:tc>
          <w:tcPr>
            <w:tcW w:w="190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0.06mg/L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粪大肠菌群</w:t>
            </w:r>
          </w:p>
        </w:tc>
        <w:tc>
          <w:tcPr>
            <w:tcW w:w="28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rPr>
              <w:t>《水质 粪大肠菌群的测定 多管发酵法》HJ 347.2-2018</w:t>
            </w:r>
          </w:p>
        </w:tc>
        <w:tc>
          <w:tcPr>
            <w:tcW w:w="3080" w:type="dxa"/>
            <w:noWrap w:val="0"/>
            <w:vAlign w:val="top"/>
          </w:tcPr>
          <w:p>
            <w:pPr>
              <w:keepNext w:val="0"/>
              <w:keepLines w:val="0"/>
              <w:pageBreakBefore w:val="0"/>
              <w:kinsoku/>
              <w:wordWrap/>
              <w:autoSpaceDE/>
              <w:autoSpaceDN/>
              <w:bidi w:val="0"/>
              <w:snapToGrid w:val="0"/>
              <w:spacing w:line="26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电热恒温培养箱FX303-1</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color w:val="000000"/>
                <w:sz w:val="24"/>
                <w:szCs w:val="24"/>
              </w:rPr>
              <w:t>SYFX-028</w:t>
            </w:r>
          </w:p>
        </w:tc>
        <w:tc>
          <w:tcPr>
            <w:tcW w:w="190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20MPN/L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流量</w:t>
            </w:r>
          </w:p>
        </w:tc>
        <w:tc>
          <w:tcPr>
            <w:tcW w:w="2868" w:type="dxa"/>
            <w:noWrap w:val="0"/>
            <w:vAlign w:val="top"/>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《地表水和污水检测技术规范》（5.3.1 流量测量）</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color w:val="000000"/>
                <w:sz w:val="24"/>
                <w:szCs w:val="24"/>
              </w:rPr>
              <w:t>HJ/T 91-2002</w:t>
            </w:r>
          </w:p>
        </w:tc>
        <w:tc>
          <w:tcPr>
            <w:tcW w:w="3080" w:type="dxa"/>
            <w:noWrap w:val="0"/>
            <w:vAlign w:val="top"/>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便捷式流速测算仪LS300-A</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color w:val="000000"/>
                <w:sz w:val="24"/>
                <w:szCs w:val="24"/>
              </w:rPr>
              <w:t>SYCY-035</w:t>
            </w:r>
          </w:p>
        </w:tc>
        <w:tc>
          <w:tcPr>
            <w:tcW w:w="190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b w:val="0"/>
                <w:bCs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六价铬</w:t>
            </w:r>
          </w:p>
        </w:tc>
        <w:tc>
          <w:tcPr>
            <w:tcW w:w="2868" w:type="dxa"/>
            <w:noWrap w:val="0"/>
            <w:vAlign w:val="top"/>
          </w:tcPr>
          <w:p>
            <w:pPr>
              <w:autoSpaceDN w:val="0"/>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w:t>
            </w:r>
            <w:r>
              <w:rPr>
                <w:rFonts w:hint="eastAsia" w:ascii="宋体" w:hAnsi="宋体" w:eastAsia="宋体" w:cs="宋体"/>
                <w:color w:val="000000"/>
                <w:sz w:val="24"/>
                <w:szCs w:val="24"/>
              </w:rPr>
              <w:t>水质 六价铬的测定 二苯碳酰二肼分光光度法》</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color w:val="000000"/>
                <w:sz w:val="24"/>
                <w:szCs w:val="24"/>
              </w:rPr>
              <w:t>GB 7467-1987</w:t>
            </w:r>
          </w:p>
        </w:tc>
        <w:tc>
          <w:tcPr>
            <w:tcW w:w="3080" w:type="dxa"/>
            <w:noWrap w:val="0"/>
            <w:vAlign w:val="top"/>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紫外可见分光光度计</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P2型</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rPr>
              <w:t>SYFX-</w:t>
            </w:r>
            <w:r>
              <w:rPr>
                <w:rFonts w:hint="eastAsia" w:ascii="宋体" w:hAnsi="宋体" w:eastAsia="宋体" w:cs="宋体"/>
                <w:sz w:val="24"/>
                <w:szCs w:val="24"/>
                <w:lang w:val="en-US" w:eastAsia="zh-CN"/>
              </w:rPr>
              <w:t>052</w:t>
            </w:r>
          </w:p>
        </w:tc>
        <w:tc>
          <w:tcPr>
            <w:tcW w:w="190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0.004mg/L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色度</w:t>
            </w:r>
          </w:p>
        </w:tc>
        <w:tc>
          <w:tcPr>
            <w:tcW w:w="2868" w:type="dxa"/>
            <w:noWrap w:val="0"/>
            <w:vAlign w:val="top"/>
          </w:tcPr>
          <w:p>
            <w:pPr>
              <w:jc w:val="center"/>
              <w:rPr>
                <w:rFonts w:hint="eastAsia" w:ascii="宋体" w:hAnsi="宋体" w:eastAsia="宋体" w:cs="宋体"/>
                <w:sz w:val="24"/>
                <w:szCs w:val="24"/>
              </w:rPr>
            </w:pPr>
            <w:r>
              <w:rPr>
                <w:rFonts w:hint="eastAsia" w:ascii="宋体" w:hAnsi="宋体" w:eastAsia="宋体" w:cs="宋体"/>
                <w:sz w:val="24"/>
                <w:szCs w:val="24"/>
              </w:rPr>
              <w:t xml:space="preserve">《水质 </w:t>
            </w:r>
            <w:r>
              <w:rPr>
                <w:rFonts w:hint="eastAsia" w:ascii="宋体" w:hAnsi="宋体" w:eastAsia="宋体" w:cs="宋体"/>
                <w:bCs/>
                <w:sz w:val="24"/>
                <w:szCs w:val="24"/>
              </w:rPr>
              <w:t>色度的测定</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rPr>
              <w:t>GB11903-1989</w:t>
            </w:r>
          </w:p>
        </w:tc>
        <w:tc>
          <w:tcPr>
            <w:tcW w:w="3080"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vertAlign w:val="baseline"/>
                <w:lang w:val="en-US" w:eastAsia="zh-CN"/>
              </w:rPr>
            </w:pPr>
          </w:p>
        </w:tc>
        <w:tc>
          <w:tcPr>
            <w:tcW w:w="190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石油类</w:t>
            </w:r>
          </w:p>
        </w:tc>
        <w:tc>
          <w:tcPr>
            <w:tcW w:w="2868"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《水质 石油类和动植物油类的测定红外分光光度法》</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rPr>
              <w:t>HJ 637-2018</w:t>
            </w:r>
          </w:p>
        </w:tc>
        <w:tc>
          <w:tcPr>
            <w:tcW w:w="3080" w:type="dxa"/>
            <w:noWrap w:val="0"/>
            <w:vAlign w:val="top"/>
          </w:tcPr>
          <w:p>
            <w:pPr>
              <w:pStyle w:val="1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红外分光测油仪OIL-480</w:t>
            </w:r>
          </w:p>
          <w:p>
            <w:pPr>
              <w:pStyle w:val="4"/>
              <w:rPr>
                <w:rFonts w:hint="eastAsia" w:ascii="宋体" w:hAnsi="宋体" w:eastAsia="宋体" w:cs="宋体"/>
                <w:sz w:val="24"/>
                <w:szCs w:val="24"/>
                <w:vertAlign w:val="baseline"/>
                <w:lang w:val="en-US" w:eastAsia="zh-CN"/>
              </w:rPr>
            </w:pPr>
            <w:r>
              <w:rPr>
                <w:rFonts w:hint="eastAsia" w:ascii="宋体" w:hAnsi="宋体" w:eastAsia="宋体" w:cs="宋体"/>
                <w:kern w:val="2"/>
                <w:sz w:val="24"/>
                <w:szCs w:val="24"/>
              </w:rPr>
              <w:t>SYFX-006</w:t>
            </w:r>
          </w:p>
        </w:tc>
        <w:tc>
          <w:tcPr>
            <w:tcW w:w="190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0.06mg/L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烷基汞</w:t>
            </w:r>
          </w:p>
        </w:tc>
        <w:tc>
          <w:tcPr>
            <w:tcW w:w="28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rPr>
              <w:t>《</w:t>
            </w:r>
            <w:r>
              <w:rPr>
                <w:rFonts w:hint="eastAsia" w:ascii="宋体" w:hAnsi="宋体" w:eastAsia="宋体" w:cs="宋体"/>
                <w:color w:val="auto"/>
                <w:sz w:val="24"/>
                <w:szCs w:val="24"/>
              </w:rPr>
              <w:t>水质 烷基汞的测定 气相色谱法</w:t>
            </w:r>
            <w:r>
              <w:rPr>
                <w:rFonts w:hint="eastAsia" w:ascii="宋体" w:hAnsi="宋体" w:eastAsia="宋体" w:cs="宋体"/>
                <w:sz w:val="24"/>
                <w:szCs w:val="24"/>
              </w:rPr>
              <w:t>》</w:t>
            </w:r>
            <w:r>
              <w:rPr>
                <w:rFonts w:hint="eastAsia" w:ascii="宋体" w:hAnsi="宋体" w:eastAsia="宋体" w:cs="宋体"/>
                <w:color w:val="auto"/>
                <w:sz w:val="24"/>
                <w:szCs w:val="24"/>
              </w:rPr>
              <w:t xml:space="preserve"> GB/T 14204-1993</w:t>
            </w:r>
          </w:p>
        </w:tc>
        <w:tc>
          <w:tcPr>
            <w:tcW w:w="3080"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highlight w:val="none"/>
                <w:lang w:eastAsia="zh-CN"/>
              </w:rPr>
              <w:t>GC-4011A型气相色谱仪</w:t>
            </w:r>
          </w:p>
        </w:tc>
        <w:tc>
          <w:tcPr>
            <w:tcW w:w="190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甲基汞10ng/L乙基汞20ng/L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悬浮物</w:t>
            </w:r>
          </w:p>
        </w:tc>
        <w:tc>
          <w:tcPr>
            <w:tcW w:w="28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rPr>
              <w:t>《水质 悬浮物的测定 重量法》GB 11901-1989</w:t>
            </w:r>
          </w:p>
        </w:tc>
        <w:tc>
          <w:tcPr>
            <w:tcW w:w="3080" w:type="dxa"/>
            <w:noWrap w:val="0"/>
            <w:vAlign w:val="top"/>
          </w:tcPr>
          <w:p>
            <w:pPr>
              <w:keepNext w:val="0"/>
              <w:keepLines w:val="0"/>
              <w:pageBreakBefore w:val="0"/>
              <w:widowControl/>
              <w:kinsoku/>
              <w:wordWrap/>
              <w:overflowPunct/>
              <w:topLinePunct w:val="0"/>
              <w:autoSpaceDE/>
              <w:autoSpaceDN/>
              <w:bidi w:val="0"/>
              <w:spacing w:line="26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电子天平FA1004-505</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rPr>
              <w:t>SYFX-023</w:t>
            </w:r>
          </w:p>
        </w:tc>
        <w:tc>
          <w:tcPr>
            <w:tcW w:w="190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五日生化需氧量</w:t>
            </w:r>
          </w:p>
        </w:tc>
        <w:tc>
          <w:tcPr>
            <w:tcW w:w="2868" w:type="dxa"/>
            <w:noWrap w:val="0"/>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i w:val="0"/>
                <w:caps w:val="0"/>
                <w:color w:val="000000"/>
                <w:spacing w:val="0"/>
                <w:sz w:val="24"/>
                <w:szCs w:val="24"/>
              </w:rPr>
              <w:t> </w:t>
            </w:r>
            <w:r>
              <w:rPr>
                <w:rFonts w:hint="eastAsia" w:ascii="宋体" w:hAnsi="宋体" w:eastAsia="宋体" w:cs="宋体"/>
                <w:color w:val="000000"/>
                <w:sz w:val="24"/>
                <w:szCs w:val="24"/>
              </w:rPr>
              <w:t>《</w:t>
            </w:r>
            <w:r>
              <w:rPr>
                <w:rFonts w:hint="eastAsia" w:ascii="宋体" w:hAnsi="宋体" w:eastAsia="宋体" w:cs="宋体"/>
                <w:color w:val="000000"/>
                <w:kern w:val="0"/>
                <w:sz w:val="24"/>
                <w:szCs w:val="24"/>
              </w:rPr>
              <w:t>水质 五日生化需氧量BOD</w:t>
            </w:r>
            <w:r>
              <w:rPr>
                <w:rFonts w:hint="eastAsia" w:ascii="宋体" w:hAnsi="宋体" w:eastAsia="宋体" w:cs="宋体"/>
                <w:color w:val="000000"/>
                <w:kern w:val="0"/>
                <w:sz w:val="24"/>
                <w:szCs w:val="24"/>
                <w:vertAlign w:val="subscript"/>
              </w:rPr>
              <w:t>5</w:t>
            </w:r>
            <w:r>
              <w:rPr>
                <w:rFonts w:hint="eastAsia" w:ascii="宋体" w:hAnsi="宋体" w:eastAsia="宋体" w:cs="宋体"/>
                <w:color w:val="000000"/>
                <w:kern w:val="0"/>
                <w:sz w:val="24"/>
                <w:szCs w:val="24"/>
              </w:rPr>
              <w:t>的测定 稀释与接种法</w:t>
            </w:r>
            <w:r>
              <w:rPr>
                <w:rFonts w:hint="eastAsia" w:ascii="宋体" w:hAnsi="宋体" w:eastAsia="宋体" w:cs="宋体"/>
                <w:color w:val="000000"/>
                <w:sz w:val="24"/>
                <w:szCs w:val="24"/>
              </w:rPr>
              <w:t>》</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rPr>
              <w:t>HJ 505-2009</w:t>
            </w:r>
          </w:p>
        </w:tc>
        <w:tc>
          <w:tcPr>
            <w:tcW w:w="3080" w:type="dxa"/>
            <w:noWrap w:val="0"/>
            <w:vAlign w:val="top"/>
          </w:tcPr>
          <w:p>
            <w:pPr>
              <w:pStyle w:val="9"/>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rPr>
              <w:t>生化培养箱SHX150III</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color w:val="000000"/>
                <w:kern w:val="2"/>
                <w:sz w:val="24"/>
                <w:szCs w:val="24"/>
              </w:rPr>
              <w:t>SYFY-027</w:t>
            </w:r>
          </w:p>
        </w:tc>
        <w:tc>
          <w:tcPr>
            <w:tcW w:w="190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阴离子表面活性剂（LAS）</w:t>
            </w:r>
          </w:p>
        </w:tc>
        <w:tc>
          <w:tcPr>
            <w:tcW w:w="2868" w:type="dxa"/>
            <w:noWrap w:val="0"/>
            <w:vAlign w:val="top"/>
          </w:tcPr>
          <w:p>
            <w:pPr>
              <w:keepNext w:val="0"/>
              <w:keepLines w:val="0"/>
              <w:pageBreakBefore w:val="0"/>
              <w:widowControl/>
              <w:kinsoku/>
              <w:wordWrap/>
              <w:overflowPunct/>
              <w:topLinePunct w:val="0"/>
              <w:autoSpaceDE/>
              <w:autoSpaceDN/>
              <w:bidi w:val="0"/>
              <w:spacing w:line="26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《水质 阴离子表面活性剂的测定亚甲蓝分光光度法》</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color w:val="000000"/>
                <w:sz w:val="24"/>
                <w:szCs w:val="24"/>
              </w:rPr>
              <w:t>GB 7494-1987</w:t>
            </w:r>
          </w:p>
        </w:tc>
        <w:tc>
          <w:tcPr>
            <w:tcW w:w="3080" w:type="dxa"/>
            <w:noWrap w:val="0"/>
            <w:vAlign w:val="top"/>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紫外可见分光光度计</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P2型</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rPr>
              <w:t>SYFX-</w:t>
            </w:r>
            <w:r>
              <w:rPr>
                <w:rFonts w:hint="eastAsia" w:ascii="宋体" w:hAnsi="宋体" w:eastAsia="宋体" w:cs="宋体"/>
                <w:sz w:val="24"/>
                <w:szCs w:val="24"/>
                <w:lang w:val="en-US" w:eastAsia="zh-CN"/>
              </w:rPr>
              <w:t>052</w:t>
            </w:r>
          </w:p>
        </w:tc>
        <w:tc>
          <w:tcPr>
            <w:tcW w:w="190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总铬</w:t>
            </w:r>
          </w:p>
        </w:tc>
        <w:tc>
          <w:tcPr>
            <w:tcW w:w="28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rPr>
              <w:t>《水质 铬的测定 火焰原子吸收分光光度法》HJ 757-2015</w:t>
            </w:r>
          </w:p>
        </w:tc>
        <w:tc>
          <w:tcPr>
            <w:tcW w:w="3080" w:type="dxa"/>
            <w:noWrap w:val="0"/>
            <w:vAlign w:val="top"/>
          </w:tcPr>
          <w:p>
            <w:pPr>
              <w:keepNext w:val="0"/>
              <w:keepLines w:val="0"/>
              <w:pageBreakBefore w:val="0"/>
              <w:kinsoku/>
              <w:wordWrap/>
              <w:overflowPunct/>
              <w:topLinePunct w:val="0"/>
              <w:autoSpaceDE/>
              <w:autoSpaceDN/>
              <w:bidi w:val="0"/>
              <w:adjustRightInd/>
              <w:snapToGrid w:val="0"/>
              <w:jc w:val="center"/>
              <w:textAlignment w:val="center"/>
              <w:rPr>
                <w:rFonts w:hint="eastAsia" w:ascii="宋体" w:hAnsi="宋体" w:eastAsia="宋体" w:cs="宋体"/>
                <w:sz w:val="24"/>
                <w:szCs w:val="24"/>
              </w:rPr>
            </w:pPr>
            <w:r>
              <w:rPr>
                <w:rFonts w:hint="eastAsia" w:ascii="宋体" w:hAnsi="宋体" w:eastAsia="宋体" w:cs="宋体"/>
                <w:sz w:val="24"/>
                <w:szCs w:val="24"/>
              </w:rPr>
              <w:t>原子吸收分光光度计AA58F</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rPr>
              <w:t>SYFX-005</w:t>
            </w:r>
          </w:p>
        </w:tc>
        <w:tc>
          <w:tcPr>
            <w:tcW w:w="190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0.03mg/L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总汞</w:t>
            </w:r>
          </w:p>
        </w:tc>
        <w:tc>
          <w:tcPr>
            <w:tcW w:w="28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i w:val="0"/>
                <w:caps w:val="0"/>
                <w:color w:val="000000"/>
                <w:spacing w:val="0"/>
                <w:sz w:val="24"/>
                <w:szCs w:val="24"/>
                <w:shd w:val="clear" w:color="auto" w:fill="F5F8FA"/>
              </w:rPr>
              <w:t> </w:t>
            </w:r>
            <w:r>
              <w:rPr>
                <w:rFonts w:hint="eastAsia" w:ascii="宋体" w:hAnsi="宋体" w:eastAsia="宋体" w:cs="宋体"/>
                <w:sz w:val="24"/>
                <w:szCs w:val="24"/>
              </w:rPr>
              <w:t>《水质 汞、砷、硒、铋和锑的测定 原子荧光法》HJ 694-2014</w:t>
            </w:r>
          </w:p>
        </w:tc>
        <w:tc>
          <w:tcPr>
            <w:tcW w:w="3080" w:type="dxa"/>
            <w:noWrap w:val="0"/>
            <w:vAlign w:val="top"/>
          </w:tcPr>
          <w:p>
            <w:pPr>
              <w:keepNext w:val="0"/>
              <w:keepLines w:val="0"/>
              <w:pageBreakBefore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原子荧光分光光度计AFS-8220</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rPr>
              <w:t>SYFX-004</w:t>
            </w:r>
          </w:p>
        </w:tc>
        <w:tc>
          <w:tcPr>
            <w:tcW w:w="190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0.0004mg/L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总铅</w:t>
            </w:r>
          </w:p>
        </w:tc>
        <w:tc>
          <w:tcPr>
            <w:tcW w:w="2868" w:type="dxa"/>
            <w:noWrap w:val="0"/>
            <w:vAlign w:val="center"/>
          </w:tcPr>
          <w:p>
            <w:pPr>
              <w:jc w:val="center"/>
              <w:rPr>
                <w:rFonts w:hint="eastAsia" w:ascii="宋体" w:hAnsi="宋体" w:eastAsia="宋体" w:cs="宋体"/>
                <w:sz w:val="24"/>
                <w:szCs w:val="24"/>
              </w:rPr>
            </w:pPr>
            <w:r>
              <w:rPr>
                <w:rFonts w:hint="eastAsia" w:ascii="宋体" w:hAnsi="宋体" w:eastAsia="宋体" w:cs="宋体"/>
                <w:color w:val="000000"/>
                <w:sz w:val="24"/>
                <w:szCs w:val="24"/>
              </w:rPr>
              <w:t>《</w:t>
            </w:r>
            <w:r>
              <w:rPr>
                <w:rFonts w:hint="eastAsia" w:ascii="宋体" w:hAnsi="宋体" w:eastAsia="宋体" w:cs="宋体"/>
                <w:sz w:val="24"/>
                <w:szCs w:val="24"/>
              </w:rPr>
              <w:t>水质 铜、锌、铅、镉的测定 原子吸收分光光度法</w:t>
            </w:r>
            <w:r>
              <w:rPr>
                <w:rFonts w:hint="eastAsia" w:ascii="宋体" w:hAnsi="宋体" w:eastAsia="宋体" w:cs="宋体"/>
                <w:color w:val="000000"/>
                <w:sz w:val="24"/>
                <w:szCs w:val="24"/>
              </w:rPr>
              <w:t>》</w:t>
            </w:r>
          </w:p>
          <w:p>
            <w:pPr>
              <w:jc w:val="center"/>
              <w:rPr>
                <w:rFonts w:hint="eastAsia" w:ascii="宋体" w:hAnsi="宋体" w:eastAsia="宋体" w:cs="宋体"/>
                <w:sz w:val="24"/>
                <w:szCs w:val="24"/>
                <w:lang w:val="en-US" w:eastAsia="zh-CN"/>
              </w:rPr>
            </w:pPr>
            <w:r>
              <w:rPr>
                <w:rFonts w:hint="eastAsia" w:ascii="宋体" w:hAnsi="宋体" w:eastAsia="宋体" w:cs="宋体"/>
                <w:sz w:val="24"/>
                <w:szCs w:val="24"/>
              </w:rPr>
              <w:t>GB 7475-1987</w:t>
            </w:r>
          </w:p>
        </w:tc>
        <w:tc>
          <w:tcPr>
            <w:tcW w:w="3080" w:type="dxa"/>
            <w:noWrap w:val="0"/>
            <w:vAlign w:val="center"/>
          </w:tcPr>
          <w:p>
            <w:pPr>
              <w:snapToGrid w:val="0"/>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原子吸收分光光度计AA58F</w:t>
            </w:r>
          </w:p>
          <w:p>
            <w:pPr>
              <w:snapToGrid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color w:val="000000"/>
                <w:sz w:val="24"/>
                <w:szCs w:val="24"/>
              </w:rPr>
              <w:t>SYFX-005</w:t>
            </w:r>
          </w:p>
        </w:tc>
        <w:tc>
          <w:tcPr>
            <w:tcW w:w="190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0.001mg/L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总砷</w:t>
            </w:r>
          </w:p>
        </w:tc>
        <w:tc>
          <w:tcPr>
            <w:tcW w:w="2868" w:type="dxa"/>
            <w:noWrap w:val="0"/>
            <w:vAlign w:val="center"/>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color w:val="000000"/>
                <w:sz w:val="24"/>
                <w:szCs w:val="24"/>
              </w:rPr>
              <w:t>《水质 汞、砷、硒、铋和锑的测定 原子荧光法》HJ 694-2014</w:t>
            </w:r>
          </w:p>
        </w:tc>
        <w:tc>
          <w:tcPr>
            <w:tcW w:w="3080"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原子荧光分光光度计AFS-8220</w:t>
            </w:r>
          </w:p>
          <w:p>
            <w:pPr>
              <w:keepNext w:val="0"/>
              <w:keepLines w:val="0"/>
              <w:pageBreakBefore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rPr>
              <w:t>SYFX-004</w:t>
            </w:r>
          </w:p>
        </w:tc>
        <w:tc>
          <w:tcPr>
            <w:tcW w:w="190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0.0003mg/L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总镉</w:t>
            </w:r>
          </w:p>
        </w:tc>
        <w:tc>
          <w:tcPr>
            <w:tcW w:w="2868"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《水质 铜、锌、铅、镉的测定 原子吸收分光光度法》</w:t>
            </w:r>
          </w:p>
          <w:p>
            <w:pPr>
              <w:keepNext w:val="0"/>
              <w:keepLines w:val="0"/>
              <w:pageBreakBefore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rPr>
              <w:t>GB 7475-1987</w:t>
            </w:r>
          </w:p>
        </w:tc>
        <w:tc>
          <w:tcPr>
            <w:tcW w:w="3080"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原子吸收分光光度计</w:t>
            </w:r>
          </w:p>
          <w:p>
            <w:pPr>
              <w:keepNext w:val="0"/>
              <w:keepLines w:val="0"/>
              <w:pageBreakBefore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AA58F</w:t>
            </w:r>
          </w:p>
          <w:p>
            <w:pPr>
              <w:keepNext w:val="0"/>
              <w:keepLines w:val="0"/>
              <w:pageBreakBefore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rPr>
              <w:t>SYFX-005</w:t>
            </w:r>
          </w:p>
        </w:tc>
        <w:tc>
          <w:tcPr>
            <w:tcW w:w="190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0.0001mg/L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氨（氨气）</w:t>
            </w:r>
          </w:p>
        </w:tc>
        <w:tc>
          <w:tcPr>
            <w:tcW w:w="2868"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《环境空气和废气 氨的测定 纳氏试剂分光光度法》</w:t>
            </w:r>
          </w:p>
          <w:p>
            <w:pPr>
              <w:jc w:val="center"/>
              <w:rPr>
                <w:rFonts w:hint="eastAsia" w:ascii="宋体" w:hAnsi="宋体" w:eastAsia="宋体" w:cs="宋体"/>
                <w:sz w:val="24"/>
                <w:szCs w:val="24"/>
                <w:lang w:val="en-US" w:eastAsia="zh-CN"/>
              </w:rPr>
            </w:pPr>
            <w:r>
              <w:rPr>
                <w:rFonts w:hint="eastAsia" w:ascii="宋体" w:hAnsi="宋体" w:eastAsia="宋体" w:cs="宋体"/>
                <w:sz w:val="24"/>
                <w:szCs w:val="24"/>
              </w:rPr>
              <w:t>HJ 533-2009</w:t>
            </w:r>
          </w:p>
        </w:tc>
        <w:tc>
          <w:tcPr>
            <w:tcW w:w="3080" w:type="dxa"/>
            <w:noWrap w:val="0"/>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紫外可见分光光度计</w:t>
            </w:r>
          </w:p>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P2型</w:t>
            </w:r>
          </w:p>
          <w:p>
            <w:pPr>
              <w:snapToGrid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color w:val="000000"/>
                <w:sz w:val="24"/>
                <w:szCs w:val="24"/>
              </w:rPr>
              <w:t>SYFX-</w:t>
            </w:r>
            <w:r>
              <w:rPr>
                <w:rFonts w:hint="eastAsia" w:ascii="宋体" w:hAnsi="宋体" w:eastAsia="宋体" w:cs="宋体"/>
                <w:color w:val="000000"/>
                <w:sz w:val="24"/>
                <w:szCs w:val="24"/>
                <w:lang w:val="en-US" w:eastAsia="zh-CN"/>
              </w:rPr>
              <w:t>052</w:t>
            </w:r>
          </w:p>
        </w:tc>
        <w:tc>
          <w:tcPr>
            <w:tcW w:w="190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0.01mg/m3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臭氧浓度</w:t>
            </w:r>
          </w:p>
        </w:tc>
        <w:tc>
          <w:tcPr>
            <w:tcW w:w="2868" w:type="dxa"/>
            <w:noWrap w:val="0"/>
            <w:vAlign w:val="center"/>
          </w:tcPr>
          <w:p>
            <w:pPr>
              <w:pStyle w:val="11"/>
              <w:rPr>
                <w:rFonts w:hint="eastAsia" w:ascii="宋体" w:hAnsi="宋体" w:eastAsia="宋体" w:cs="宋体"/>
                <w:sz w:val="24"/>
                <w:szCs w:val="24"/>
                <w:lang w:val="en-US" w:eastAsia="zh-CN"/>
              </w:rPr>
            </w:pPr>
            <w:r>
              <w:rPr>
                <w:rFonts w:hint="eastAsia" w:ascii="宋体" w:hAnsi="宋体" w:eastAsia="宋体" w:cs="宋体"/>
                <w:sz w:val="24"/>
                <w:szCs w:val="24"/>
              </w:rPr>
              <w:t>《空气质量 恶臭的测定 三点比较式臭袋法》GB/T 14675-93</w:t>
            </w:r>
          </w:p>
        </w:tc>
        <w:tc>
          <w:tcPr>
            <w:tcW w:w="3080" w:type="dxa"/>
            <w:noWrap w:val="0"/>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rPr>
              <w:t>/</w:t>
            </w:r>
          </w:p>
        </w:tc>
        <w:tc>
          <w:tcPr>
            <w:tcW w:w="190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硫化氢</w:t>
            </w:r>
          </w:p>
        </w:tc>
        <w:tc>
          <w:tcPr>
            <w:tcW w:w="2868" w:type="dxa"/>
            <w:noWrap w:val="0"/>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《空气和废气监测分析方法  第四版增补版国家环境保护总局（2003年）》3.1.11.2</w:t>
            </w:r>
          </w:p>
        </w:tc>
        <w:tc>
          <w:tcPr>
            <w:tcW w:w="3080" w:type="dxa"/>
            <w:noWrap w:val="0"/>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紫外可见分光光度计</w:t>
            </w:r>
          </w:p>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P2型</w:t>
            </w:r>
          </w:p>
          <w:p>
            <w:pPr>
              <w:snapToGrid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color w:val="000000"/>
                <w:sz w:val="24"/>
                <w:szCs w:val="24"/>
              </w:rPr>
              <w:t>SYFX-</w:t>
            </w:r>
            <w:r>
              <w:rPr>
                <w:rFonts w:hint="eastAsia" w:ascii="宋体" w:hAnsi="宋体" w:eastAsia="宋体" w:cs="宋体"/>
                <w:color w:val="000000"/>
                <w:sz w:val="24"/>
                <w:szCs w:val="24"/>
                <w:lang w:val="en-US" w:eastAsia="zh-CN"/>
              </w:rPr>
              <w:t>052</w:t>
            </w:r>
          </w:p>
        </w:tc>
        <w:tc>
          <w:tcPr>
            <w:tcW w:w="190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0.001mg/m3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240" w:firstLineChars="1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甲烷</w:t>
            </w:r>
          </w:p>
        </w:tc>
        <w:tc>
          <w:tcPr>
            <w:tcW w:w="2868" w:type="dxa"/>
            <w:noWrap w:val="0"/>
            <w:vAlign w:val="center"/>
          </w:tcPr>
          <w:p>
            <w:pPr>
              <w:keepNext w:val="0"/>
              <w:keepLines w:val="0"/>
              <w:pageBreakBefore w:val="0"/>
              <w:kinsoku/>
              <w:wordWrap/>
              <w:overflowPunct/>
              <w:topLinePunct w:val="0"/>
              <w:autoSpaceDE/>
              <w:autoSpaceDN/>
              <w:bidi w:val="0"/>
              <w:adjustRightInd/>
              <w:spacing w:line="260" w:lineRule="exact"/>
              <w:jc w:val="center"/>
              <w:rPr>
                <w:rFonts w:hint="eastAsia" w:ascii="宋体" w:hAnsi="宋体" w:eastAsia="宋体" w:cs="宋体"/>
                <w:color w:val="auto"/>
                <w:kern w:val="0"/>
                <w:sz w:val="24"/>
                <w:szCs w:val="24"/>
              </w:rPr>
            </w:pPr>
            <w:r>
              <w:rPr>
                <w:rFonts w:hint="eastAsia" w:ascii="宋体" w:hAnsi="宋体" w:eastAsia="宋体" w:cs="宋体"/>
                <w:color w:val="auto"/>
                <w:sz w:val="24"/>
                <w:szCs w:val="24"/>
              </w:rPr>
              <w:t>《环境空气 总烃、甲烷和非甲总烃的测定 直接进样-气相色谱法</w:t>
            </w:r>
            <w:r>
              <w:rPr>
                <w:rFonts w:hint="eastAsia" w:ascii="宋体" w:hAnsi="宋体" w:eastAsia="宋体" w:cs="宋体"/>
                <w:color w:val="auto"/>
                <w:kern w:val="0"/>
                <w:sz w:val="24"/>
                <w:szCs w:val="24"/>
              </w:rPr>
              <w:t>》</w:t>
            </w:r>
          </w:p>
          <w:p>
            <w:pPr>
              <w:keepNext w:val="0"/>
              <w:keepLines w:val="0"/>
              <w:pageBreakBefore w:val="0"/>
              <w:kinsoku/>
              <w:wordWrap/>
              <w:overflowPunct/>
              <w:topLinePunct w:val="0"/>
              <w:autoSpaceDE/>
              <w:autoSpaceDN/>
              <w:bidi w:val="0"/>
              <w:adjustRightInd/>
              <w:spacing w:line="2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color w:val="auto"/>
                <w:sz w:val="24"/>
                <w:szCs w:val="24"/>
              </w:rPr>
              <w:t>HJ 604-2017</w:t>
            </w:r>
          </w:p>
        </w:tc>
        <w:tc>
          <w:tcPr>
            <w:tcW w:w="308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气相色谱仪</w:t>
            </w:r>
          </w:p>
          <w:p>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A91PLUS</w:t>
            </w:r>
          </w:p>
          <w:p>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color w:val="auto"/>
                <w:sz w:val="24"/>
                <w:szCs w:val="24"/>
              </w:rPr>
              <w:t>SYFX-001</w:t>
            </w:r>
          </w:p>
        </w:tc>
        <w:tc>
          <w:tcPr>
            <w:tcW w:w="190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0.06mg/m3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污泥含水率</w:t>
            </w:r>
          </w:p>
        </w:tc>
        <w:tc>
          <w:tcPr>
            <w:tcW w:w="28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i w:val="0"/>
                <w:caps w:val="0"/>
                <w:color w:val="000000"/>
                <w:spacing w:val="0"/>
                <w:sz w:val="24"/>
                <w:szCs w:val="24"/>
                <w:lang w:eastAsia="zh-CN"/>
              </w:rPr>
              <w:t>《城市污水处理厂污泥检验方法（</w:t>
            </w:r>
            <w:r>
              <w:rPr>
                <w:rFonts w:hint="eastAsia" w:ascii="宋体" w:hAnsi="宋体" w:eastAsia="宋体" w:cs="宋体"/>
                <w:i w:val="0"/>
                <w:caps w:val="0"/>
                <w:color w:val="000000"/>
                <w:spacing w:val="0"/>
                <w:sz w:val="24"/>
                <w:szCs w:val="24"/>
                <w:lang w:val="en-US" w:eastAsia="zh-CN"/>
              </w:rPr>
              <w:t>13 细菌总数的测定 平皿计数法</w:t>
            </w:r>
            <w:r>
              <w:rPr>
                <w:rFonts w:hint="eastAsia" w:ascii="宋体" w:hAnsi="宋体" w:eastAsia="宋体" w:cs="宋体"/>
                <w:i w:val="0"/>
                <w:caps w:val="0"/>
                <w:color w:val="000000"/>
                <w:spacing w:val="0"/>
                <w:sz w:val="24"/>
                <w:szCs w:val="24"/>
                <w:lang w:eastAsia="zh-CN"/>
              </w:rPr>
              <w:t>）》</w:t>
            </w:r>
            <w:r>
              <w:rPr>
                <w:rFonts w:hint="eastAsia" w:ascii="宋体" w:hAnsi="宋体" w:eastAsia="宋体" w:cs="宋体"/>
                <w:i w:val="0"/>
                <w:caps w:val="0"/>
                <w:color w:val="000000"/>
                <w:spacing w:val="0"/>
                <w:sz w:val="24"/>
                <w:szCs w:val="24"/>
                <w:lang w:val="en-US" w:eastAsia="zh-CN"/>
              </w:rPr>
              <w:t>CJ/T 221-2005</w:t>
            </w:r>
          </w:p>
        </w:tc>
        <w:tc>
          <w:tcPr>
            <w:tcW w:w="3080" w:type="dxa"/>
            <w:noWrap w:val="0"/>
            <w:vAlign w:val="top"/>
          </w:tcPr>
          <w:p>
            <w:pPr>
              <w:keepNext w:val="0"/>
              <w:keepLines w:val="0"/>
              <w:pageBreakBefore w:val="0"/>
              <w:kinsoku/>
              <w:wordWrap/>
              <w:autoSpaceDE/>
              <w:autoSpaceDN/>
              <w:bidi w:val="0"/>
              <w:snapToGrid w:val="0"/>
              <w:spacing w:line="26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电热恒温培养箱FX303-1</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color w:val="000000"/>
                <w:sz w:val="24"/>
                <w:szCs w:val="24"/>
              </w:rPr>
              <w:t>SYFX-028</w:t>
            </w:r>
          </w:p>
        </w:tc>
        <w:tc>
          <w:tcPr>
            <w:tcW w:w="190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b w:val="0"/>
                <w:bCs w:val="0"/>
                <w:sz w:val="24"/>
                <w:szCs w:val="24"/>
                <w:lang w:val="en-US" w:eastAsia="zh-CN"/>
              </w:rPr>
            </w:pPr>
          </w:p>
        </w:tc>
      </w:tr>
    </w:tbl>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both"/>
        <w:textAlignment w:val="auto"/>
        <w:outlineLvl w:val="9"/>
        <w:rPr>
          <w:rFonts w:hint="eastAsia" w:ascii="仿宋_GB2312" w:hAnsi="仿宋_GB2312" w:eastAsia="仿宋_GB2312" w:cs="仿宋_GB2312"/>
          <w:sz w:val="32"/>
          <w:szCs w:val="32"/>
          <w:lang w:val="en-US" w:eastAsia="zh-CN"/>
        </w:rPr>
      </w:pPr>
    </w:p>
    <w:p>
      <w:pPr>
        <w:numPr>
          <w:ilvl w:val="0"/>
          <w:numId w:val="0"/>
        </w:numPr>
        <w:ind w:firstLine="640" w:firstLineChars="200"/>
        <w:jc w:val="both"/>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b/>
          <w:sz w:val="28"/>
          <w:szCs w:val="28"/>
        </w:rPr>
      </w:pPr>
      <w:r>
        <w:rPr>
          <w:rFonts w:hint="eastAsia" w:ascii="仿宋_GB2312" w:hAnsi="仿宋_GB2312" w:eastAsia="仿宋_GB2312" w:cs="仿宋_GB2312"/>
          <w:b/>
          <w:bCs/>
          <w:sz w:val="32"/>
          <w:szCs w:val="32"/>
          <w:lang w:val="en-US" w:eastAsia="zh-CN"/>
        </w:rPr>
        <w:t>六、</w:t>
      </w:r>
      <w:r>
        <w:rPr>
          <w:rFonts w:hint="default" w:ascii="Times New Roman" w:hAnsi="Times New Roman" w:cs="Times New Roman"/>
          <w:b/>
          <w:sz w:val="28"/>
          <w:szCs w:val="28"/>
          <w:lang w:eastAsia="zh-CN"/>
        </w:rPr>
        <w:t>检</w:t>
      </w:r>
      <w:r>
        <w:rPr>
          <w:rFonts w:hint="default" w:ascii="Times New Roman" w:hAnsi="Times New Roman" w:cs="Times New Roman"/>
          <w:b/>
          <w:sz w:val="28"/>
          <w:szCs w:val="28"/>
        </w:rPr>
        <w:t>测质量保证</w:t>
      </w:r>
    </w:p>
    <w:p>
      <w:pPr>
        <w:spacing w:line="520" w:lineRule="exact"/>
        <w:ind w:firstLine="640" w:firstLineChars="200"/>
        <w:rPr>
          <w:rFonts w:hint="eastAsia" w:ascii="宋体" w:hAnsi="宋体" w:eastAsia="宋体" w:cs="宋体"/>
          <w:b/>
          <w:sz w:val="32"/>
          <w:szCs w:val="32"/>
          <w:lang w:eastAsia="zh-CN"/>
        </w:rPr>
      </w:pPr>
      <w:r>
        <w:rPr>
          <w:rFonts w:hint="eastAsia" w:ascii="宋体" w:hAnsi="宋体" w:eastAsia="宋体" w:cs="宋体"/>
          <w:color w:val="000000"/>
          <w:sz w:val="32"/>
          <w:szCs w:val="32"/>
        </w:rPr>
        <w:t>按照《自行监测技术指南  总则》的要求，委托其它有资质的检测机构代其开展自行</w:t>
      </w:r>
      <w:r>
        <w:rPr>
          <w:rFonts w:hint="eastAsia" w:ascii="宋体" w:hAnsi="宋体" w:eastAsia="宋体" w:cs="宋体"/>
          <w:color w:val="000000"/>
          <w:sz w:val="32"/>
          <w:szCs w:val="32"/>
          <w:lang w:eastAsia="zh-CN"/>
        </w:rPr>
        <w:t>检</w:t>
      </w:r>
      <w:r>
        <w:rPr>
          <w:rFonts w:hint="eastAsia" w:ascii="宋体" w:hAnsi="宋体" w:eastAsia="宋体" w:cs="宋体"/>
          <w:color w:val="000000"/>
          <w:sz w:val="32"/>
          <w:szCs w:val="32"/>
        </w:rPr>
        <w:t>测的，排污单位不用建立</w:t>
      </w:r>
      <w:r>
        <w:rPr>
          <w:rFonts w:hint="eastAsia" w:ascii="宋体" w:hAnsi="宋体" w:eastAsia="宋体" w:cs="宋体"/>
          <w:color w:val="000000"/>
          <w:sz w:val="32"/>
          <w:szCs w:val="32"/>
          <w:lang w:eastAsia="zh-CN"/>
        </w:rPr>
        <w:t>检</w:t>
      </w:r>
      <w:r>
        <w:rPr>
          <w:rFonts w:hint="eastAsia" w:ascii="宋体" w:hAnsi="宋体" w:eastAsia="宋体" w:cs="宋体"/>
          <w:color w:val="000000"/>
          <w:sz w:val="32"/>
          <w:szCs w:val="32"/>
        </w:rPr>
        <w:t>测质量体系，但应对检测机构的资质进行确认。我单位自行</w:t>
      </w:r>
      <w:r>
        <w:rPr>
          <w:rFonts w:hint="eastAsia" w:ascii="宋体" w:hAnsi="宋体" w:eastAsia="宋体" w:cs="宋体"/>
          <w:color w:val="000000"/>
          <w:sz w:val="32"/>
          <w:szCs w:val="32"/>
          <w:lang w:eastAsia="zh-CN"/>
        </w:rPr>
        <w:t>检</w:t>
      </w:r>
      <w:r>
        <w:rPr>
          <w:rFonts w:hint="eastAsia" w:ascii="宋体" w:hAnsi="宋体" w:eastAsia="宋体" w:cs="宋体"/>
          <w:color w:val="000000"/>
          <w:sz w:val="32"/>
          <w:szCs w:val="32"/>
        </w:rPr>
        <w:t>测委托第三方检测单位开展，不需建立</w:t>
      </w:r>
      <w:r>
        <w:rPr>
          <w:rFonts w:hint="eastAsia" w:ascii="宋体" w:hAnsi="宋体" w:eastAsia="宋体" w:cs="宋体"/>
          <w:color w:val="000000"/>
          <w:sz w:val="32"/>
          <w:szCs w:val="32"/>
          <w:lang w:eastAsia="zh-CN"/>
        </w:rPr>
        <w:t>检</w:t>
      </w:r>
      <w:r>
        <w:rPr>
          <w:rFonts w:hint="eastAsia" w:ascii="宋体" w:hAnsi="宋体" w:eastAsia="宋体" w:cs="宋体"/>
          <w:color w:val="000000"/>
          <w:sz w:val="32"/>
          <w:szCs w:val="32"/>
        </w:rPr>
        <w:t>测质量保证与质量控制体系，委托</w:t>
      </w:r>
      <w:r>
        <w:rPr>
          <w:rFonts w:hint="eastAsia" w:ascii="宋体" w:hAnsi="宋体" w:eastAsia="宋体" w:cs="宋体"/>
          <w:color w:val="000000"/>
          <w:sz w:val="32"/>
          <w:szCs w:val="32"/>
          <w:lang w:eastAsia="zh-CN"/>
        </w:rPr>
        <w:t>检</w:t>
      </w:r>
      <w:r>
        <w:rPr>
          <w:rFonts w:hint="eastAsia" w:ascii="宋体" w:hAnsi="宋体" w:eastAsia="宋体" w:cs="宋体"/>
          <w:color w:val="000000"/>
          <w:sz w:val="32"/>
          <w:szCs w:val="32"/>
        </w:rPr>
        <w:t>测前将对</w:t>
      </w:r>
      <w:r>
        <w:rPr>
          <w:rFonts w:hint="eastAsia" w:ascii="宋体" w:hAnsi="宋体" w:eastAsia="宋体" w:cs="宋体"/>
          <w:color w:val="000000"/>
          <w:sz w:val="32"/>
          <w:szCs w:val="32"/>
          <w:lang w:eastAsia="zh-CN"/>
        </w:rPr>
        <w:t>检</w:t>
      </w:r>
      <w:r>
        <w:rPr>
          <w:rFonts w:hint="eastAsia" w:ascii="宋体" w:hAnsi="宋体" w:eastAsia="宋体" w:cs="宋体"/>
          <w:color w:val="000000"/>
          <w:sz w:val="32"/>
          <w:szCs w:val="32"/>
        </w:rPr>
        <w:t>测机构的资质进行确认。</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Chars="200" w:right="0" w:rightChars="0" w:firstLine="321" w:firstLineChars="100"/>
        <w:jc w:val="both"/>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七、监测点位示意图(附件2)</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Chars="200" w:right="0" w:rightChars="0"/>
        <w:jc w:val="both"/>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drawing>
          <wp:inline distT="0" distB="0" distL="114300" distR="114300">
            <wp:extent cx="5944235" cy="5980430"/>
            <wp:effectExtent l="0" t="0" r="18415" b="1270"/>
            <wp:docPr id="4" name="图片 1" descr="二污废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二污废水"/>
                    <pic:cNvPicPr>
                      <a:picLocks noChangeAspect="1"/>
                    </pic:cNvPicPr>
                  </pic:nvPicPr>
                  <pic:blipFill>
                    <a:blip r:embed="rId7"/>
                    <a:stretch>
                      <a:fillRect/>
                    </a:stretch>
                  </pic:blipFill>
                  <pic:spPr>
                    <a:xfrm>
                      <a:off x="0" y="0"/>
                      <a:ext cx="5944235" cy="5980430"/>
                    </a:xfrm>
                    <a:prstGeom prst="rect">
                      <a:avLst/>
                    </a:prstGeom>
                    <a:noFill/>
                    <a:ln>
                      <a:noFill/>
                    </a:ln>
                  </pic:spPr>
                </pic:pic>
              </a:graphicData>
            </a:graphic>
          </wp:inline>
        </w:drawing>
      </w:r>
    </w:p>
    <w:p>
      <w:pPr>
        <w:pStyle w:val="2"/>
        <w:rPr>
          <w:rFonts w:hint="eastAsia"/>
          <w:lang w:val="en-US" w:eastAsia="zh-CN"/>
        </w:rPr>
      </w:pPr>
      <w:r>
        <w:rPr>
          <w:rFonts w:hint="eastAsia"/>
          <w:lang w:val="en-US" w:eastAsia="zh-CN"/>
        </w:rPr>
        <w:drawing>
          <wp:inline distT="0" distB="0" distL="114300" distR="114300">
            <wp:extent cx="6200140" cy="6236970"/>
            <wp:effectExtent l="0" t="0" r="10160" b="11430"/>
            <wp:docPr id="5" name="图片 2" descr="二污废气监测点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二污废气监测点位"/>
                    <pic:cNvPicPr>
                      <a:picLocks noChangeAspect="1"/>
                    </pic:cNvPicPr>
                  </pic:nvPicPr>
                  <pic:blipFill>
                    <a:blip r:embed="rId8"/>
                    <a:stretch>
                      <a:fillRect/>
                    </a:stretch>
                  </pic:blipFill>
                  <pic:spPr>
                    <a:xfrm>
                      <a:off x="0" y="0"/>
                      <a:ext cx="6200140" cy="62369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righ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确山县污水处理厂</w:t>
      </w:r>
    </w:p>
    <w:p>
      <w:pPr>
        <w:rPr>
          <w:rFonts w:hint="eastAsia" w:ascii="仿宋" w:hAnsi="仿宋" w:eastAsia="仿宋" w:cs="仿宋"/>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01F8E1"/>
    <w:multiLevelType w:val="singleLevel"/>
    <w:tmpl w:val="0901F8E1"/>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RiM2RkNzg0YzkzZjc2M2ZjZDMwMzA0MzZkNWVmZDcifQ=="/>
  </w:docVars>
  <w:rsids>
    <w:rsidRoot w:val="15F25D46"/>
    <w:rsid w:val="063779FD"/>
    <w:rsid w:val="09CC4C1C"/>
    <w:rsid w:val="0B286AA6"/>
    <w:rsid w:val="0F7D7D19"/>
    <w:rsid w:val="15F25D46"/>
    <w:rsid w:val="21D051EB"/>
    <w:rsid w:val="2EA938DB"/>
    <w:rsid w:val="47F11B23"/>
    <w:rsid w:val="55A03643"/>
    <w:rsid w:val="5D014A08"/>
    <w:rsid w:val="60B82249"/>
    <w:rsid w:val="6CBD325C"/>
    <w:rsid w:val="6D207039"/>
    <w:rsid w:val="718A31A2"/>
    <w:rsid w:val="754247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3"/>
    <w:unhideWhenUsed/>
    <w:qFormat/>
    <w:uiPriority w:val="0"/>
    <w:pPr>
      <w:keepNext/>
      <w:keepLines/>
      <w:spacing w:before="280" w:after="290" w:line="372" w:lineRule="auto"/>
      <w:outlineLvl w:val="3"/>
    </w:pPr>
    <w:rPr>
      <w:rFonts w:ascii="Arial" w:hAnsi="Arial" w:eastAsia="黑体"/>
      <w:b/>
      <w:sz w:val="28"/>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Normal Indent"/>
    <w:basedOn w:val="1"/>
    <w:next w:val="1"/>
    <w:qFormat/>
    <w:uiPriority w:val="0"/>
    <w:pPr>
      <w:jc w:val="center"/>
    </w:pPr>
    <w:rPr>
      <w:szCs w:val="20"/>
    </w:rPr>
  </w:style>
  <w:style w:type="paragraph" w:styleId="4">
    <w:name w:val="Block Text"/>
    <w:basedOn w:val="1"/>
    <w:unhideWhenUsed/>
    <w:qFormat/>
    <w:uiPriority w:val="0"/>
    <w:pPr>
      <w:snapToGrid w:val="0"/>
      <w:spacing w:line="408" w:lineRule="auto"/>
      <w:ind w:left="-113" w:right="-510" w:firstLine="510"/>
    </w:pPr>
    <w:rPr>
      <w:sz w:val="24"/>
      <w:szCs w:val="20"/>
    </w:rPr>
  </w:style>
  <w:style w:type="paragraph" w:styleId="5">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p0"/>
    <w:basedOn w:val="1"/>
    <w:qFormat/>
    <w:uiPriority w:val="0"/>
    <w:pPr>
      <w:jc w:val="both"/>
    </w:pPr>
    <w:rPr>
      <w:sz w:val="21"/>
      <w:szCs w:val="21"/>
    </w:rPr>
  </w:style>
  <w:style w:type="paragraph" w:customStyle="1" w:styleId="10">
    <w:name w:val="表格"/>
    <w:basedOn w:val="1"/>
    <w:qFormat/>
    <w:uiPriority w:val="0"/>
    <w:pPr>
      <w:keepNext/>
      <w:adjustRightInd w:val="0"/>
      <w:spacing w:line="360" w:lineRule="auto"/>
      <w:jc w:val="center"/>
      <w:textAlignment w:val="baseline"/>
    </w:pPr>
    <w:rPr>
      <w:kern w:val="0"/>
      <w:sz w:val="24"/>
      <w:szCs w:val="20"/>
    </w:rPr>
  </w:style>
  <w:style w:type="paragraph" w:customStyle="1" w:styleId="11">
    <w:name w:val="表中文字1"/>
    <w:qFormat/>
    <w:uiPriority w:val="0"/>
    <w:pPr>
      <w:widowControl w:val="0"/>
      <w:adjustRightInd w:val="0"/>
      <w:snapToGrid w:val="0"/>
      <w:jc w:val="center"/>
    </w:pPr>
    <w:rPr>
      <w:rFonts w:ascii="Times New Roman" w:hAnsi="Times New Roman" w:eastAsia="宋体" w:cs="Times New Roman"/>
      <w:color w:val="000000"/>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2730</Words>
  <Characters>3679</Characters>
  <Lines>0</Lines>
  <Paragraphs>0</Paragraphs>
  <TotalTime>5</TotalTime>
  <ScaleCrop>false</ScaleCrop>
  <LinksUpToDate>false</LinksUpToDate>
  <CharactersWithSpaces>3754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2020-09-21T03:02:00Z</dcterms:created>
  <dc:creator>安好</dc:creator>
  <cp:lastModifiedBy>꯭小꯭时꯭候꯭可꯭牛꯭了꯭</cp:lastModifiedBy>
  <dcterms:modified xsi:type="dcterms:W3CDTF">2023-01-17T01:10:43Z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4159A51025B940169E204C8D31A19899</vt:lpwstr>
  </property>
</Properties>
</file>