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40" w:lineRule="atLeast"/>
        <w:ind w:right="0"/>
        <w:jc w:val="center"/>
        <w:rPr>
          <w:rFonts w:ascii="Calibri" w:hAnsi="Calibri" w:cs="Calibri"/>
          <w:sz w:val="21"/>
          <w:szCs w:val="21"/>
        </w:rPr>
      </w:pPr>
      <w:bookmarkStart w:id="4" w:name="_GoBack"/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  <w:lang w:val="en-US" w:eastAsia="zh-CN"/>
        </w:rPr>
        <w:t>确山县城区供水水质提升及供水管网改扩建工程设备采购项目中标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fill="FFFFFF"/>
        </w:rPr>
        <w:t>公告</w:t>
      </w:r>
    </w:p>
    <w:bookmarkEnd w:id="4"/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一、项目基本情况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1、采购项目编号：ZCZXZB-2024-0321001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Calibri" w:hAnsi="Calibri" w:eastAsia="宋体" w:cs="Calibri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2、采购项目名称：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确山县城区供水水质提升及供水管网改扩建工程设备采购项目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3、采购方式：公开招标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4、招标公告发布日期：202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5、评审日期：202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二、采购项目用途、数量、简要技术要求、合同履行日期：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详见招标文件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三、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中标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情况</w:t>
      </w:r>
    </w:p>
    <w:tbl>
      <w:tblPr>
        <w:tblStyle w:val="10"/>
        <w:tblW w:w="10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680"/>
        <w:gridCol w:w="1892"/>
        <w:gridCol w:w="1974"/>
        <w:gridCol w:w="2182"/>
        <w:gridCol w:w="1321"/>
        <w:gridCol w:w="1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包号</w:t>
            </w:r>
          </w:p>
        </w:tc>
        <w:tc>
          <w:tcPr>
            <w:tcW w:w="25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采购内容</w:t>
            </w:r>
          </w:p>
        </w:tc>
        <w:tc>
          <w:tcPr>
            <w:tcW w:w="1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供应商名称</w:t>
            </w:r>
          </w:p>
        </w:tc>
        <w:tc>
          <w:tcPr>
            <w:tcW w:w="21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1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3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中标金额</w:t>
            </w:r>
          </w:p>
        </w:tc>
        <w:tc>
          <w:tcPr>
            <w:tcW w:w="1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60" w:lineRule="atLeast"/>
              <w:ind w:left="0" w:right="30" w:firstLine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6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确投字[2023]20号A包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确山县城区供水水质提升及供水管网改扩建工程设备采购项目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上海威派格智慧水务股份有限公司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eastAsia="zh-CN"/>
              </w:rPr>
              <w:t>上海市嘉定区恒定路</w:t>
            </w: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伍佰陆拾捌万捌仟捌佰伍拾肆元捌角壹分</w:t>
            </w:r>
          </w:p>
          <w:p>
            <w:pPr>
              <w:pStyle w:val="7"/>
              <w:keepNext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both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小写：5688854.81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0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品牌（如有）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规格型号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 xml:space="preserve">数量 </w:t>
            </w:r>
          </w:p>
        </w:tc>
        <w:tc>
          <w:tcPr>
            <w:tcW w:w="18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8" w:hRule="atLeast"/>
          <w:jc w:val="center"/>
        </w:trPr>
        <w:tc>
          <w:tcPr>
            <w:tcW w:w="105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  <w:t>PAM一体化溶解加药装置PLC控制柜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西门子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  <w:t>箱体材质：碳钢喷塑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  <w:t>触 摸 屏：10寸彩色触摸屏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1套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37691.30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7" w:hRule="atLeast"/>
          <w:jc w:val="center"/>
        </w:trPr>
        <w:tc>
          <w:tcPr>
            <w:tcW w:w="105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333333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Calibri" w:hAnsi="Calibri" w:cs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原厂区10台摄像头视频接入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海康威视品牌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8台球型，2台枪型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1项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2000.00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元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四、评审专家名单：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周首民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（评标委员会组长）、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谢燕、郭颖君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邹璐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刘金明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（采购人代表）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五、代理服务收费标准及金额：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收费标准：参照国家相关收费标准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按豫招协[2023]002号文有关规定收取。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收费金额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  <w:t xml:space="preserve"> 75400.00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六、结果公告发布的媒介及结果公告期限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本次结果公告在</w:t>
      </w:r>
      <w:r>
        <w:rPr>
          <w:rFonts w:hint="eastAsia" w:ascii="宋体" w:hAnsi="宋体" w:cs="宋体"/>
          <w:kern w:val="0"/>
          <w:sz w:val="24"/>
        </w:rPr>
        <w:t>《河南省电子招标投标公共服务平台》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、《中国招标投标公共服务平台》、《确山县水务有限公司官网》上发布。结果公告期限为1个工作日。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七、其他补充事宜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若供应商对上述结果有质疑,可在结果公告发布之日起七个工作日内，按照《中华人民共和国政府采购法》、《中华人民共和国政府采购法实施条例》和《政府采购质疑和投诉办法》相关规定，以书面形式由法定代表人或其授权代表人携带本人身份证件（原件和加盖公章的复印件）、质疑函原件(加盖公章及法定代表人或其授权代表签字)及相关证明材料向采购人和采购代理机构提出质疑（邮寄件、传真件不予受理），逾期将不再受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凡对本次公告内容提出询问，请按以下方式联系</w:t>
      </w:r>
    </w:p>
    <w:p>
      <w:pPr>
        <w:widowControl/>
        <w:spacing w:line="410" w:lineRule="exac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>
      <w:pPr>
        <w:widowControl/>
        <w:spacing w:line="410" w:lineRule="exac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名称：确山县给排水设备安装工程有限公司</w:t>
      </w:r>
    </w:p>
    <w:p>
      <w:pPr>
        <w:widowControl/>
        <w:spacing w:line="410" w:lineRule="exac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地址：确山县中原大道与董北路交叉口西100米</w:t>
      </w:r>
    </w:p>
    <w:p>
      <w:pPr>
        <w:widowControl/>
        <w:spacing w:line="410" w:lineRule="exac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联系人：赵先生</w:t>
      </w:r>
    </w:p>
    <w:p>
      <w:pPr>
        <w:widowControl/>
        <w:spacing w:line="410" w:lineRule="exact"/>
        <w:ind w:firstLine="555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bookmarkStart w:id="0" w:name="_Toc28359009"/>
      <w:bookmarkStart w:id="1" w:name="_Toc28359086"/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13598916223</w:t>
      </w:r>
    </w:p>
    <w:p>
      <w:pPr>
        <w:widowControl/>
        <w:spacing w:line="410" w:lineRule="exac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2.采购代理机构信息</w:t>
      </w:r>
      <w:bookmarkEnd w:id="0"/>
      <w:bookmarkEnd w:id="1"/>
    </w:p>
    <w:p>
      <w:pPr>
        <w:spacing w:line="410" w:lineRule="exact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名称：郑州众诚建设咨询有限公司</w:t>
      </w:r>
    </w:p>
    <w:p>
      <w:pPr>
        <w:spacing w:line="410" w:lineRule="exact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地址：郑州市金水区经八路14号附19号汇元大厦409至419室</w:t>
      </w:r>
    </w:p>
    <w:p>
      <w:pPr>
        <w:spacing w:line="410" w:lineRule="exact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联系人：徐先生</w:t>
      </w:r>
    </w:p>
    <w:p>
      <w:pPr>
        <w:spacing w:line="410" w:lineRule="exact"/>
        <w:ind w:firstLine="480" w:firstLineChars="200"/>
        <w:rPr>
          <w:rFonts w:hint="default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bookmarkStart w:id="2" w:name="_Toc28359010"/>
      <w:bookmarkStart w:id="3" w:name="_Toc28359087"/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15939629543</w:t>
      </w:r>
    </w:p>
    <w:p>
      <w:pPr>
        <w:spacing w:line="410" w:lineRule="exact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3.项目联系方式</w:t>
      </w:r>
      <w:bookmarkEnd w:id="2"/>
      <w:bookmarkEnd w:id="3"/>
    </w:p>
    <w:p>
      <w:pPr>
        <w:spacing w:line="410" w:lineRule="exact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联系人：赵先生</w:t>
      </w: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联系方式：13598916223</w:t>
      </w:r>
    </w:p>
    <w:sectPr>
      <w:pgSz w:w="11906" w:h="16838"/>
      <w:pgMar w:top="1020" w:right="1800" w:bottom="11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0ACB7"/>
    <w:multiLevelType w:val="singleLevel"/>
    <w:tmpl w:val="5940ACB7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ODhkMzdiYjQ0NDMxY2Q1MGYxNDhmNjFlYzFhMWMifQ=="/>
  </w:docVars>
  <w:rsids>
    <w:rsidRoot w:val="20EB0CBF"/>
    <w:rsid w:val="01933A29"/>
    <w:rsid w:val="02F474A0"/>
    <w:rsid w:val="05F66CBD"/>
    <w:rsid w:val="06A502D4"/>
    <w:rsid w:val="0AF33A92"/>
    <w:rsid w:val="0B100A4F"/>
    <w:rsid w:val="0C5B2A51"/>
    <w:rsid w:val="0C615B69"/>
    <w:rsid w:val="0DC36511"/>
    <w:rsid w:val="0EBF6BD7"/>
    <w:rsid w:val="10295ED7"/>
    <w:rsid w:val="12A5517B"/>
    <w:rsid w:val="16612C1A"/>
    <w:rsid w:val="1811244B"/>
    <w:rsid w:val="189C3AAC"/>
    <w:rsid w:val="19280083"/>
    <w:rsid w:val="1A8862B9"/>
    <w:rsid w:val="1AFD0A64"/>
    <w:rsid w:val="1D1A3B4F"/>
    <w:rsid w:val="1EAB46E4"/>
    <w:rsid w:val="1F072441"/>
    <w:rsid w:val="1FDE2C12"/>
    <w:rsid w:val="1FFC3851"/>
    <w:rsid w:val="20EB0CBF"/>
    <w:rsid w:val="242E0892"/>
    <w:rsid w:val="28A21157"/>
    <w:rsid w:val="2A3B70F4"/>
    <w:rsid w:val="2C2B02D6"/>
    <w:rsid w:val="2D270E56"/>
    <w:rsid w:val="2DA57465"/>
    <w:rsid w:val="30E107B4"/>
    <w:rsid w:val="32142D5C"/>
    <w:rsid w:val="37ED7A3F"/>
    <w:rsid w:val="48830719"/>
    <w:rsid w:val="48A56114"/>
    <w:rsid w:val="49BB2250"/>
    <w:rsid w:val="49F0029B"/>
    <w:rsid w:val="49FC25C6"/>
    <w:rsid w:val="4B5E0F27"/>
    <w:rsid w:val="4DB94064"/>
    <w:rsid w:val="54EC0625"/>
    <w:rsid w:val="55F9613C"/>
    <w:rsid w:val="56E322E1"/>
    <w:rsid w:val="578E4942"/>
    <w:rsid w:val="57C71C02"/>
    <w:rsid w:val="5B1A64ED"/>
    <w:rsid w:val="5B9E4747"/>
    <w:rsid w:val="615F2EAC"/>
    <w:rsid w:val="61D45648"/>
    <w:rsid w:val="62C6026C"/>
    <w:rsid w:val="66AA6569"/>
    <w:rsid w:val="66E520A5"/>
    <w:rsid w:val="68E320F2"/>
    <w:rsid w:val="6942733B"/>
    <w:rsid w:val="6A96477D"/>
    <w:rsid w:val="6ADA35A3"/>
    <w:rsid w:val="6BFF17D6"/>
    <w:rsid w:val="6D495ECB"/>
    <w:rsid w:val="6E162B44"/>
    <w:rsid w:val="6F444E1A"/>
    <w:rsid w:val="6F484DC7"/>
    <w:rsid w:val="6F6B5112"/>
    <w:rsid w:val="735D1318"/>
    <w:rsid w:val="74E269E6"/>
    <w:rsid w:val="78520C1D"/>
    <w:rsid w:val="7A695BC7"/>
    <w:rsid w:val="7DF4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目录 51"/>
    <w:next w:val="1"/>
    <w:autoRedefine/>
    <w:qFormat/>
    <w:uiPriority w:val="0"/>
    <w:pPr>
      <w:wordWrap w:val="0"/>
      <w:ind w:left="1700"/>
      <w:jc w:val="both"/>
    </w:pPr>
    <w:rPr>
      <w:rFonts w:ascii="Times New Roman" w:hAnsi="Times New Roman" w:eastAsia="Calibri" w:cs="Times New Roman"/>
      <w:sz w:val="21"/>
      <w:lang w:val="en-US" w:eastAsia="zh-CN" w:bidi="ar-SA"/>
    </w:rPr>
  </w:style>
  <w:style w:type="paragraph" w:styleId="6">
    <w:name w:val="Body Text 2"/>
    <w:basedOn w:val="1"/>
    <w:next w:val="2"/>
    <w:autoRedefine/>
    <w:qFormat/>
    <w:uiPriority w:val="0"/>
    <w:pPr>
      <w:spacing w:line="480" w:lineRule="auto"/>
    </w:pPr>
    <w:rPr>
      <w:rFonts w:ascii="Calibri" w:hAnsi="Calibri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autoRedefine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autoRedefine/>
    <w:qFormat/>
    <w:uiPriority w:val="0"/>
    <w:pPr>
      <w:tabs>
        <w:tab w:val="left" w:pos="945"/>
        <w:tab w:val="left" w:pos="1155"/>
      </w:tabs>
      <w:ind w:left="420" w:leftChars="200"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Emphasis"/>
    <w:basedOn w:val="12"/>
    <w:autoRedefine/>
    <w:qFormat/>
    <w:uiPriority w:val="0"/>
  </w:style>
  <w:style w:type="character" w:styleId="16">
    <w:name w:val="HTML Definition"/>
    <w:basedOn w:val="12"/>
    <w:autoRedefine/>
    <w:qFormat/>
    <w:uiPriority w:val="0"/>
  </w:style>
  <w:style w:type="character" w:styleId="17">
    <w:name w:val="HTML Typewriter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autoRedefine/>
    <w:qFormat/>
    <w:uiPriority w:val="0"/>
  </w:style>
  <w:style w:type="character" w:styleId="19">
    <w:name w:val="HTML Variable"/>
    <w:basedOn w:val="12"/>
    <w:autoRedefine/>
    <w:qFormat/>
    <w:uiPriority w:val="0"/>
  </w:style>
  <w:style w:type="character" w:styleId="20">
    <w:name w:val="Hyperlink"/>
    <w:basedOn w:val="12"/>
    <w:autoRedefine/>
    <w:qFormat/>
    <w:uiPriority w:val="0"/>
    <w:rPr>
      <w:color w:val="333333"/>
      <w:u w:val="none"/>
    </w:rPr>
  </w:style>
  <w:style w:type="character" w:styleId="21">
    <w:name w:val="HTML Code"/>
    <w:basedOn w:val="1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autoRedefine/>
    <w:qFormat/>
    <w:uiPriority w:val="0"/>
  </w:style>
  <w:style w:type="character" w:styleId="23">
    <w:name w:val="HTML Keyboard"/>
    <w:basedOn w:val="12"/>
    <w:autoRedefine/>
    <w:qFormat/>
    <w:uiPriority w:val="0"/>
    <w:rPr>
      <w:rFonts w:ascii="monospace" w:hAnsi="monospace" w:eastAsia="monospace" w:cs="monospace"/>
      <w:sz w:val="20"/>
    </w:rPr>
  </w:style>
  <w:style w:type="character" w:styleId="24">
    <w:name w:val="HTML Sample"/>
    <w:basedOn w:val="12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5">
    <w:name w:val="_Style 1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1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1152</Words>
  <Characters>1641</Characters>
  <Lines>0</Lines>
  <Paragraphs>0</Paragraphs>
  <TotalTime>0</TotalTime>
  <ScaleCrop>false</ScaleCrop>
  <LinksUpToDate>false</LinksUpToDate>
  <CharactersWithSpaces>1662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2022-04-08T02:22:00Z</dcterms:created>
  <dc:creator>NTKO</dc:creator>
  <cp:lastModifiedBy>金果</cp:lastModifiedBy>
  <cp:lastPrinted>2023-05-30T09:27:00Z</cp:lastPrinted>
  <dcterms:modified xsi:type="dcterms:W3CDTF">2024-04-12T08:25:52Z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793CFCCC2C314C2896F3F4B884678F48_13</vt:lpwstr>
  </property>
</Properties>
</file>